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Y="160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993"/>
        <w:gridCol w:w="5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164" w:type="dxa"/>
            <w:gridSpan w:val="3"/>
            <w:shd w:val="clear" w:color="auto" w:fill="E0E0E0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color w:val="000000"/>
                <w:sz w:val="28"/>
                <w:highlight w:val="none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highlight w:val="none"/>
                <w:lang w:eastAsia="zh-CN"/>
              </w:rPr>
              <w:t>通识选修课工作要点及操作规程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000000"/>
                <w:sz w:val="24"/>
                <w:highlight w:val="none"/>
              </w:rPr>
              <w:t>时间</w:t>
            </w:r>
          </w:p>
        </w:tc>
        <w:tc>
          <w:tcPr>
            <w:tcW w:w="299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000000"/>
                <w:sz w:val="24"/>
                <w:highlight w:val="none"/>
              </w:rPr>
              <w:t>执行内容</w:t>
            </w:r>
          </w:p>
        </w:tc>
        <w:tc>
          <w:tcPr>
            <w:tcW w:w="580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000000"/>
                <w:sz w:val="24"/>
                <w:highlight w:val="none"/>
              </w:rPr>
              <w:t>要求或方法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4" w:type="dxa"/>
            <w:gridSpan w:val="3"/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/>
                <w:szCs w:val="21"/>
                <w:highlight w:val="none"/>
                <w:lang w:eastAsia="zh-CN"/>
              </w:rPr>
              <w:t>申请开课、选课</w:t>
            </w:r>
            <w:r>
              <w:rPr>
                <w:rFonts w:hint="eastAsia"/>
                <w:color w:val="000000"/>
                <w:szCs w:val="21"/>
                <w:highlight w:val="none"/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第1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/>
                <w:szCs w:val="21"/>
                <w:highlight w:val="none"/>
              </w:rPr>
              <w:t>-1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/>
                <w:szCs w:val="21"/>
                <w:highlight w:val="none"/>
              </w:rPr>
              <w:t>周</w:t>
            </w:r>
          </w:p>
        </w:tc>
        <w:tc>
          <w:tcPr>
            <w:tcW w:w="2993" w:type="dxa"/>
            <w:noWrap w:val="0"/>
            <w:vAlign w:val="center"/>
          </w:tcPr>
          <w:p>
            <w:pPr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1．《通识选修课课程建设申报表》</w:t>
            </w:r>
          </w:p>
          <w:p>
            <w:pPr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2．《通识选修课开课申请表》</w:t>
            </w:r>
          </w:p>
          <w:p>
            <w:pPr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3．《教学大纲》</w:t>
            </w:r>
          </w:p>
          <w:p>
            <w:pPr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4</w:t>
            </w:r>
            <w:r>
              <w:rPr>
                <w:rFonts w:hint="eastAsia"/>
                <w:b/>
                <w:szCs w:val="21"/>
                <w:highlight w:val="none"/>
              </w:rPr>
              <w:t>.</w:t>
            </w:r>
            <w:r>
              <w:rPr>
                <w:rFonts w:hint="eastAsia"/>
                <w:szCs w:val="21"/>
                <w:highlight w:val="none"/>
              </w:rPr>
              <w:t>《授课计划》</w:t>
            </w:r>
          </w:p>
        </w:tc>
        <w:tc>
          <w:tcPr>
            <w:tcW w:w="5803" w:type="dxa"/>
            <w:noWrap w:val="0"/>
            <w:vAlign w:val="center"/>
          </w:tcPr>
          <w:p>
            <w:pPr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1．新开课程须填写并提交第1-4项。</w:t>
            </w:r>
          </w:p>
          <w:p>
            <w:pPr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2．原已同意开设的课程须填写并提交第2-4项。</w:t>
            </w:r>
          </w:p>
          <w:p>
            <w:pPr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3．各学院对本学院开设的通识选修课材料进行审核，签字盖章后报送教务处。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第1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/>
                <w:szCs w:val="21"/>
                <w:highlight w:val="none"/>
              </w:rPr>
              <w:t>-1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/>
                <w:szCs w:val="21"/>
                <w:highlight w:val="none"/>
              </w:rPr>
              <w:t>周</w:t>
            </w:r>
          </w:p>
        </w:tc>
        <w:tc>
          <w:tcPr>
            <w:tcW w:w="2993" w:type="dxa"/>
            <w:noWrap w:val="0"/>
            <w:vAlign w:val="center"/>
          </w:tcPr>
          <w:p>
            <w:pPr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5．各学院(部)审核教师开课申请等相关材料</w:t>
            </w:r>
          </w:p>
          <w:p>
            <w:pPr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6．录入通识选修课相关信息</w:t>
            </w:r>
          </w:p>
          <w:p>
            <w:pPr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7．教务处审核教师开课申请等相关材料</w:t>
            </w:r>
          </w:p>
        </w:tc>
        <w:tc>
          <w:tcPr>
            <w:tcW w:w="5803" w:type="dxa"/>
            <w:noWrap w:val="0"/>
            <w:vAlign w:val="center"/>
          </w:tcPr>
          <w:p>
            <w:pPr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1．在截止日前由各学院秘书将材料收齐并将相关材料交到教务处。</w:t>
            </w:r>
          </w:p>
          <w:p>
            <w:pPr>
              <w:rPr>
                <w:rFonts w:hint="eastAsia"/>
                <w:b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2．经学院批准的课程由秘书将教学任务录入教务管理系统</w:t>
            </w:r>
            <w:r>
              <w:rPr>
                <w:rFonts w:hint="eastAsia"/>
                <w:b/>
                <w:szCs w:val="21"/>
                <w:highlight w:val="none"/>
              </w:rPr>
              <w:t>（</w:t>
            </w:r>
            <w:r>
              <w:rPr>
                <w:rFonts w:hint="eastAsia" w:ascii="黑体" w:eastAsia="黑体"/>
                <w:b/>
                <w:szCs w:val="21"/>
                <w:highlight w:val="none"/>
              </w:rPr>
              <w:t>课程性质为公共选修课，课程类别为通识课程）</w:t>
            </w:r>
            <w:r>
              <w:rPr>
                <w:rFonts w:hint="eastAsia"/>
                <w:b/>
                <w:szCs w:val="21"/>
                <w:highlight w:val="none"/>
              </w:rPr>
              <w:t>。</w:t>
            </w:r>
          </w:p>
          <w:p>
            <w:pPr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3．教务处组织相关人员对各学院所交材料进行审核，批准后网上公布。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第1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/>
                <w:szCs w:val="21"/>
                <w:highlight w:val="none"/>
              </w:rPr>
              <w:t>-1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/>
                <w:szCs w:val="21"/>
                <w:highlight w:val="none"/>
              </w:rPr>
              <w:t>周</w:t>
            </w:r>
          </w:p>
        </w:tc>
        <w:tc>
          <w:tcPr>
            <w:tcW w:w="29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8．网上公布通识选修课选课信息</w:t>
            </w:r>
          </w:p>
          <w:p>
            <w:pPr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9．</w:t>
            </w:r>
            <w:r>
              <w:rPr>
                <w:rFonts w:hint="eastAsia" w:ascii="黑体" w:eastAsia="黑体"/>
                <w:b/>
                <w:szCs w:val="21"/>
                <w:highlight w:val="none"/>
              </w:rPr>
              <w:t>学生进行网上报名</w:t>
            </w:r>
          </w:p>
        </w:tc>
        <w:tc>
          <w:tcPr>
            <w:tcW w:w="5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1．教务处下发学生通识选修课报名通知，各学院秘书负责通知学生。</w:t>
            </w:r>
          </w:p>
          <w:p>
            <w:pPr>
              <w:rPr>
                <w:rFonts w:hint="eastAsia"/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2．</w:t>
            </w:r>
            <w:r>
              <w:rPr>
                <w:rFonts w:hint="eastAsia" w:ascii="黑体" w:eastAsia="黑体"/>
                <w:b/>
                <w:szCs w:val="21"/>
                <w:highlight w:val="none"/>
              </w:rPr>
              <w:t>提醒学生注意报名的方式、截止时间、改选时间，以及学校学分制管理规定</w:t>
            </w:r>
            <w:r>
              <w:rPr>
                <w:rFonts w:hint="eastAsia" w:ascii="黑体" w:eastAsia="黑体"/>
                <w:b/>
                <w:szCs w:val="21"/>
                <w:highlight w:val="none"/>
                <w:lang w:eastAsia="zh-CN"/>
              </w:rPr>
              <w:t>和</w:t>
            </w:r>
            <w:r>
              <w:rPr>
                <w:rFonts w:hint="eastAsia" w:ascii="黑体" w:eastAsia="黑体"/>
                <w:b/>
                <w:szCs w:val="21"/>
                <w:highlight w:val="none"/>
              </w:rPr>
              <w:t>各专业培养计划中关于通识选修课程修读的要求（特别是毕业班学生）。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第1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/>
                <w:szCs w:val="21"/>
                <w:highlight w:val="none"/>
              </w:rPr>
              <w:t>周</w:t>
            </w:r>
          </w:p>
        </w:tc>
        <w:tc>
          <w:tcPr>
            <w:tcW w:w="29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10．统计、整理学生网上报名情况</w:t>
            </w:r>
          </w:p>
          <w:p>
            <w:pPr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11．公布通识选修课的上课时间、地点等相关内容</w:t>
            </w:r>
          </w:p>
        </w:tc>
        <w:tc>
          <w:tcPr>
            <w:tcW w:w="5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停开选</w:t>
            </w:r>
            <w:r>
              <w:rPr>
                <w:rFonts w:hint="eastAsia"/>
                <w:szCs w:val="21"/>
                <w:highlight w:val="none"/>
                <w:lang w:eastAsia="zh-CN"/>
              </w:rPr>
              <w:t>课</w:t>
            </w:r>
            <w:r>
              <w:rPr>
                <w:rFonts w:hint="eastAsia"/>
                <w:szCs w:val="21"/>
                <w:highlight w:val="none"/>
              </w:rPr>
              <w:t>人数不足20人的课程，并通知相关学院。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4" w:type="dxa"/>
            <w:gridSpan w:val="3"/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上课学期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第1周</w:t>
            </w:r>
          </w:p>
        </w:tc>
        <w:tc>
          <w:tcPr>
            <w:tcW w:w="2993" w:type="dxa"/>
            <w:noWrap w:val="0"/>
            <w:vAlign w:val="center"/>
          </w:tcPr>
          <w:p>
            <w:pPr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12．</w:t>
            </w:r>
            <w:r>
              <w:rPr>
                <w:rFonts w:hint="eastAsia" w:ascii="黑体" w:eastAsia="黑体"/>
                <w:b/>
                <w:szCs w:val="21"/>
                <w:highlight w:val="none"/>
              </w:rPr>
              <w:t>学生进行网上补、改选</w:t>
            </w:r>
          </w:p>
        </w:tc>
        <w:tc>
          <w:tcPr>
            <w:tcW w:w="5803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</w:rPr>
              <w:t>1</w:t>
            </w:r>
            <w:r>
              <w:rPr>
                <w:rFonts w:hint="eastAsia"/>
                <w:szCs w:val="21"/>
                <w:highlight w:val="none"/>
                <w:lang w:eastAsia="zh-CN"/>
              </w:rPr>
              <w:t>.开课教师开始新学期通选选修课上课。</w:t>
            </w:r>
          </w:p>
          <w:p>
            <w:pPr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/>
                <w:szCs w:val="21"/>
                <w:highlight w:val="none"/>
              </w:rPr>
              <w:t>二级学院通知学生进行</w:t>
            </w:r>
            <w:r>
              <w:rPr>
                <w:rFonts w:hint="eastAsia"/>
                <w:szCs w:val="21"/>
                <w:highlight w:val="none"/>
                <w:lang w:eastAsia="zh-CN"/>
              </w:rPr>
              <w:t>补、</w:t>
            </w:r>
            <w:r>
              <w:rPr>
                <w:rFonts w:hint="eastAsia"/>
                <w:szCs w:val="21"/>
                <w:highlight w:val="none"/>
              </w:rPr>
              <w:t>改选，并</w:t>
            </w:r>
            <w:r>
              <w:rPr>
                <w:rFonts w:hint="eastAsia" w:ascii="黑体" w:eastAsia="黑体"/>
                <w:b/>
                <w:szCs w:val="21"/>
                <w:highlight w:val="none"/>
              </w:rPr>
              <w:t>通知选学网络课程的学生在规定时间内到相应平台学习所选课程</w:t>
            </w:r>
            <w:r>
              <w:rPr>
                <w:rFonts w:hint="eastAsia"/>
                <w:szCs w:val="21"/>
                <w:highlight w:val="none"/>
              </w:rPr>
              <w:t>。</w:t>
            </w:r>
          </w:p>
          <w:p>
            <w:pPr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szCs w:val="21"/>
                <w:highlight w:val="none"/>
              </w:rPr>
              <w:t>．学生进行网上补、改选。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第1-16周</w:t>
            </w:r>
          </w:p>
        </w:tc>
        <w:tc>
          <w:tcPr>
            <w:tcW w:w="2993" w:type="dxa"/>
            <w:noWrap w:val="0"/>
            <w:vAlign w:val="center"/>
          </w:tcPr>
          <w:p>
            <w:pPr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13．根据授课计划组织教学活动</w:t>
            </w:r>
          </w:p>
        </w:tc>
        <w:tc>
          <w:tcPr>
            <w:tcW w:w="5803" w:type="dxa"/>
            <w:noWrap w:val="0"/>
            <w:vAlign w:val="center"/>
          </w:tcPr>
          <w:p>
            <w:pPr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1．完整的学生名单在学生补改选结束后可通过教务管理系统由</w:t>
            </w:r>
            <w:r>
              <w:rPr>
                <w:rFonts w:hint="eastAsia"/>
                <w:szCs w:val="21"/>
                <w:highlight w:val="none"/>
                <w:lang w:eastAsia="zh-CN"/>
              </w:rPr>
              <w:t>开课教师</w:t>
            </w:r>
            <w:r>
              <w:rPr>
                <w:rFonts w:hint="eastAsia"/>
                <w:szCs w:val="21"/>
                <w:highlight w:val="none"/>
              </w:rPr>
              <w:t>自行打印。</w:t>
            </w:r>
          </w:p>
          <w:p>
            <w:pPr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2．</w:t>
            </w:r>
            <w:r>
              <w:rPr>
                <w:rFonts w:hint="eastAsia"/>
                <w:szCs w:val="21"/>
                <w:highlight w:val="none"/>
                <w:lang w:eastAsia="zh-CN"/>
              </w:rPr>
              <w:t>开课教师</w:t>
            </w:r>
            <w:r>
              <w:rPr>
                <w:rFonts w:hint="eastAsia"/>
                <w:szCs w:val="21"/>
                <w:highlight w:val="none"/>
              </w:rPr>
              <w:t>应做好学生的考勤工作，严格执行《衢州学院学生学籍管理规定》；提醒学生到网上查看自己选课报名是否成功；不得接受学生的选课报名。</w:t>
            </w:r>
          </w:p>
          <w:p>
            <w:pPr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 xml:space="preserve">3. </w:t>
            </w:r>
            <w:r>
              <w:rPr>
                <w:rFonts w:hint="eastAsia" w:ascii="黑体" w:eastAsia="黑体"/>
                <w:b/>
                <w:szCs w:val="21"/>
                <w:highlight w:val="none"/>
              </w:rPr>
              <w:t>调、停课请</w:t>
            </w:r>
            <w:r>
              <w:rPr>
                <w:rFonts w:hint="eastAsia" w:ascii="黑体" w:eastAsia="黑体"/>
                <w:b/>
                <w:szCs w:val="21"/>
                <w:highlight w:val="none"/>
                <w:lang w:eastAsia="zh-CN"/>
              </w:rPr>
              <w:t>开课教师</w:t>
            </w:r>
            <w:r>
              <w:rPr>
                <w:rFonts w:hint="eastAsia" w:ascii="黑体" w:eastAsia="黑体"/>
                <w:b/>
                <w:szCs w:val="21"/>
                <w:highlight w:val="none"/>
              </w:rPr>
              <w:t>按</w:t>
            </w:r>
            <w:r>
              <w:rPr>
                <w:rFonts w:hint="eastAsia" w:ascii="黑体" w:eastAsia="黑体"/>
                <w:b/>
                <w:szCs w:val="21"/>
                <w:highlight w:val="none"/>
                <w:lang w:eastAsia="zh-CN"/>
              </w:rPr>
              <w:t>相关</w:t>
            </w:r>
            <w:r>
              <w:rPr>
                <w:rFonts w:hint="eastAsia" w:ascii="黑体" w:eastAsia="黑体"/>
                <w:b/>
                <w:szCs w:val="21"/>
                <w:highlight w:val="none"/>
              </w:rPr>
              <w:t>要求申请（补课时间一律安排在周日晚）</w:t>
            </w:r>
            <w:r>
              <w:rPr>
                <w:rFonts w:hint="eastAsia"/>
                <w:b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</w:trPr>
        <w:tc>
          <w:tcPr>
            <w:tcW w:w="1368" w:type="dxa"/>
            <w:noWrap w:val="0"/>
            <w:vAlign w:val="center"/>
          </w:tcPr>
          <w:p>
            <w:pPr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第17-18周</w:t>
            </w:r>
          </w:p>
        </w:tc>
        <w:tc>
          <w:tcPr>
            <w:tcW w:w="2993" w:type="dxa"/>
            <w:noWrap w:val="0"/>
            <w:vAlign w:val="center"/>
          </w:tcPr>
          <w:p>
            <w:pPr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14．通识选修课期末环节</w:t>
            </w:r>
          </w:p>
        </w:tc>
        <w:tc>
          <w:tcPr>
            <w:tcW w:w="5803" w:type="dxa"/>
            <w:noWrap w:val="0"/>
            <w:vAlign w:val="center"/>
          </w:tcPr>
          <w:p>
            <w:pPr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1．开课部门组织完成课程考核。</w:t>
            </w:r>
          </w:p>
          <w:p>
            <w:pPr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2．学生成绩录入教务管理系统（考试结束后三天之内）。</w:t>
            </w:r>
          </w:p>
          <w:p>
            <w:pPr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3．</w:t>
            </w:r>
            <w:r>
              <w:rPr>
                <w:rFonts w:hint="eastAsia"/>
                <w:szCs w:val="21"/>
                <w:highlight w:val="none"/>
                <w:lang w:eastAsia="zh-CN"/>
              </w:rPr>
              <w:t>开课教师</w:t>
            </w:r>
            <w:r>
              <w:rPr>
                <w:rFonts w:hint="eastAsia"/>
                <w:szCs w:val="21"/>
                <w:highlight w:val="none"/>
              </w:rPr>
              <w:t>将相关材料送教务处（</w:t>
            </w:r>
            <w:r>
              <w:rPr>
                <w:rFonts w:hint="eastAsia" w:ascii="黑体" w:eastAsia="黑体"/>
                <w:b/>
                <w:szCs w:val="21"/>
                <w:highlight w:val="none"/>
              </w:rPr>
              <w:t>第1</w:t>
            </w:r>
            <w:r>
              <w:rPr>
                <w:rFonts w:hint="eastAsia" w:ascii="黑体" w:eastAsia="黑体"/>
                <w:b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黑体" w:eastAsia="黑体"/>
                <w:b/>
                <w:szCs w:val="21"/>
                <w:highlight w:val="none"/>
              </w:rPr>
              <w:t>周周五下班前</w:t>
            </w:r>
            <w:r>
              <w:rPr>
                <w:rFonts w:hint="eastAsia"/>
                <w:szCs w:val="21"/>
                <w:highlight w:val="none"/>
              </w:rPr>
              <w:t>）。</w:t>
            </w:r>
          </w:p>
          <w:p>
            <w:pPr>
              <w:ind w:firstLine="420" w:firstLineChars="200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材料包括：命题计划、期末试卷（含答卷及评分标准，须有A/B卷）、考场情况登记表、学生试卷（</w:t>
            </w:r>
            <w:r>
              <w:rPr>
                <w:rFonts w:hint="eastAsia" w:ascii="黑体" w:eastAsia="黑体"/>
                <w:b/>
                <w:szCs w:val="21"/>
                <w:highlight w:val="none"/>
              </w:rPr>
              <w:t>按成绩单列序排</w:t>
            </w:r>
            <w:r>
              <w:rPr>
                <w:rFonts w:hint="eastAsia"/>
                <w:szCs w:val="21"/>
                <w:highlight w:val="none"/>
              </w:rPr>
              <w:t>）、试卷分析、成绩单（一式两份，并签名）、平时成绩打分表、课程教学大纲。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kNzkxNWVmY2UyODViNjZlYTQ0ODc2MDdhYjZiYjkifQ=="/>
  </w:docVars>
  <w:rsids>
    <w:rsidRoot w:val="00000000"/>
    <w:rsid w:val="111D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2022-11-23T00:59:40Z</dcterms:created>
  <dc:creator>Administrator</dc:creator>
  <cp:lastModifiedBy>Showntoon</cp:lastModifiedBy>
  <dcterms:modified xsi:type="dcterms:W3CDTF">2022-11-23T00:59:49Z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EBB3AD47D8BA44A6942BA8DE7C44A143</vt:lpwstr>
  </property>
</Properties>
</file>