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5BA21">
      <w:pPr>
        <w:spacing w:before="180" w:line="23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附件1：</w:t>
      </w:r>
    </w:p>
    <w:p w14:paraId="51D9A36A">
      <w:pPr>
        <w:spacing w:before="52"/>
        <w:rPr>
          <w:rFonts w:hint="eastAsia"/>
        </w:rPr>
      </w:pPr>
    </w:p>
    <w:p w14:paraId="32BF64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2" w:after="0" w:afterLines="50"/>
        <w:jc w:val="center"/>
        <w:textAlignment w:val="baseline"/>
        <w:rPr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“双千”计划急需紧缺“微专业”建设方向</w:t>
      </w:r>
    </w:p>
    <w:tbl>
      <w:tblPr>
        <w:tblStyle w:val="5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7"/>
        <w:gridCol w:w="3385"/>
        <w:gridCol w:w="4066"/>
      </w:tblGrid>
      <w:tr w14:paraId="78DC34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077" w:type="dxa"/>
            <w:vAlign w:val="top"/>
          </w:tcPr>
          <w:p w14:paraId="49E32505">
            <w:pPr>
              <w:spacing w:before="184" w:line="221" w:lineRule="auto"/>
              <w:ind w:left="3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序号</w:t>
            </w:r>
          </w:p>
        </w:tc>
        <w:tc>
          <w:tcPr>
            <w:tcW w:w="3385" w:type="dxa"/>
            <w:vAlign w:val="top"/>
          </w:tcPr>
          <w:p w14:paraId="0A692EEA">
            <w:pPr>
              <w:spacing w:before="184" w:line="220" w:lineRule="auto"/>
              <w:ind w:left="12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产业领域</w:t>
            </w:r>
          </w:p>
        </w:tc>
        <w:tc>
          <w:tcPr>
            <w:tcW w:w="4066" w:type="dxa"/>
            <w:vAlign w:val="top"/>
          </w:tcPr>
          <w:p w14:paraId="5557A1B4">
            <w:pPr>
              <w:spacing w:before="184" w:line="221" w:lineRule="auto"/>
              <w:ind w:left="15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建设方向</w:t>
            </w:r>
          </w:p>
        </w:tc>
      </w:tr>
      <w:tr w14:paraId="254873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5" w:hRule="atLeast"/>
        </w:trPr>
        <w:tc>
          <w:tcPr>
            <w:tcW w:w="1077" w:type="dxa"/>
            <w:vAlign w:val="top"/>
          </w:tcPr>
          <w:p w14:paraId="5F0131E9">
            <w:pPr>
              <w:spacing w:line="315" w:lineRule="auto"/>
              <w:rPr>
                <w:rFonts w:ascii="Arial"/>
                <w:sz w:val="21"/>
              </w:rPr>
            </w:pPr>
          </w:p>
          <w:p w14:paraId="530395CE">
            <w:pPr>
              <w:spacing w:line="315" w:lineRule="auto"/>
              <w:rPr>
                <w:rFonts w:ascii="Arial"/>
                <w:sz w:val="21"/>
              </w:rPr>
            </w:pPr>
          </w:p>
          <w:p w14:paraId="34AB9D67">
            <w:pPr>
              <w:spacing w:before="63" w:line="236" w:lineRule="auto"/>
              <w:ind w:left="50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3385" w:type="dxa"/>
            <w:vAlign w:val="top"/>
          </w:tcPr>
          <w:p w14:paraId="00C5F865">
            <w:pPr>
              <w:spacing w:line="285" w:lineRule="auto"/>
              <w:rPr>
                <w:rFonts w:ascii="Arial"/>
                <w:sz w:val="21"/>
              </w:rPr>
            </w:pPr>
          </w:p>
          <w:p w14:paraId="377DA85C">
            <w:pPr>
              <w:spacing w:line="286" w:lineRule="auto"/>
              <w:rPr>
                <w:rFonts w:ascii="Arial"/>
                <w:sz w:val="21"/>
              </w:rPr>
            </w:pPr>
          </w:p>
          <w:p w14:paraId="44736901">
            <w:pPr>
              <w:spacing w:before="91" w:line="218" w:lineRule="auto"/>
              <w:ind w:left="114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人工智能</w:t>
            </w:r>
          </w:p>
        </w:tc>
        <w:tc>
          <w:tcPr>
            <w:tcW w:w="4066" w:type="dxa"/>
            <w:vAlign w:val="top"/>
          </w:tcPr>
          <w:p w14:paraId="73E37299">
            <w:pPr>
              <w:pStyle w:val="6"/>
              <w:spacing w:before="45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大模型开发与应用</w:t>
            </w:r>
          </w:p>
          <w:p w14:paraId="5E3233A2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智能数据工程与标注技术</w:t>
            </w:r>
          </w:p>
          <w:p w14:paraId="691C2DE4">
            <w:pPr>
              <w:pStyle w:val="6"/>
              <w:spacing w:before="49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自然语言处理与对话系统开发</w:t>
            </w:r>
          </w:p>
          <w:p w14:paraId="03F7F7BC">
            <w:pPr>
              <w:pStyle w:val="6"/>
              <w:spacing w:before="45" w:line="220" w:lineRule="auto"/>
              <w:ind w:left="124"/>
              <w:rPr>
                <w:rFonts w:ascii="宋体" w:hAnsi="宋体" w:eastAsia="宋体" w:cs="宋体"/>
                <w:spacing w:val="-2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人工智能与机器人</w:t>
            </w:r>
          </w:p>
          <w:p w14:paraId="384FED8B">
            <w:pPr>
              <w:pStyle w:val="6"/>
              <w:spacing w:before="45" w:line="220" w:lineRule="auto"/>
              <w:ind w:left="124"/>
              <w:rPr>
                <w:rFonts w:ascii="宋体" w:hAnsi="宋体" w:eastAsia="宋体" w:cs="宋体"/>
                <w:spacing w:val="-2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AI产品管理与设计</w:t>
            </w:r>
          </w:p>
          <w:p w14:paraId="5813CD1D">
            <w:pPr>
              <w:pStyle w:val="6"/>
              <w:spacing w:before="45" w:line="220" w:lineRule="auto"/>
              <w:ind w:left="124"/>
            </w:pPr>
            <w:r>
              <w:rPr>
                <w:spacing w:val="-2"/>
              </w:rPr>
              <w:t>l</w:t>
            </w:r>
            <w:r>
              <w:rPr>
                <w:spacing w:val="-203"/>
              </w:rPr>
              <w:t xml:space="preserve"> </w:t>
            </w:r>
            <w:r>
              <w:rPr>
                <w:u w:val="dotted" w:color="auto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</w:rPr>
              <w:t xml:space="preserve">   </w:t>
            </w:r>
          </w:p>
        </w:tc>
      </w:tr>
      <w:tr w14:paraId="72D7D6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78E304F7">
            <w:pPr>
              <w:spacing w:line="264" w:lineRule="auto"/>
              <w:rPr>
                <w:rFonts w:ascii="Arial"/>
                <w:sz w:val="21"/>
              </w:rPr>
            </w:pPr>
          </w:p>
          <w:p w14:paraId="424B1B51">
            <w:pPr>
              <w:spacing w:line="264" w:lineRule="auto"/>
              <w:rPr>
                <w:rFonts w:ascii="Arial"/>
                <w:sz w:val="21"/>
              </w:rPr>
            </w:pPr>
          </w:p>
          <w:p w14:paraId="53BDEB77">
            <w:pPr>
              <w:spacing w:line="264" w:lineRule="auto"/>
              <w:rPr>
                <w:rFonts w:ascii="Arial"/>
                <w:sz w:val="21"/>
              </w:rPr>
            </w:pPr>
          </w:p>
          <w:p w14:paraId="4CD9D29D">
            <w:pPr>
              <w:spacing w:before="63" w:line="236" w:lineRule="auto"/>
              <w:ind w:left="4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3385" w:type="dxa"/>
            <w:vAlign w:val="top"/>
          </w:tcPr>
          <w:p w14:paraId="6217C91A">
            <w:pPr>
              <w:spacing w:line="351" w:lineRule="auto"/>
              <w:rPr>
                <w:rFonts w:ascii="Arial"/>
                <w:sz w:val="21"/>
              </w:rPr>
            </w:pPr>
          </w:p>
          <w:p w14:paraId="01E43674">
            <w:pPr>
              <w:spacing w:line="352" w:lineRule="auto"/>
              <w:rPr>
                <w:rFonts w:ascii="Arial"/>
                <w:sz w:val="21"/>
              </w:rPr>
            </w:pPr>
          </w:p>
          <w:p w14:paraId="23C6DE4F">
            <w:pPr>
              <w:spacing w:before="91" w:line="218" w:lineRule="auto"/>
              <w:ind w:left="72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新一代信息技术</w:t>
            </w:r>
          </w:p>
        </w:tc>
        <w:tc>
          <w:tcPr>
            <w:tcW w:w="4066" w:type="dxa"/>
            <w:vAlign w:val="top"/>
          </w:tcPr>
          <w:p w14:paraId="25145586">
            <w:pPr>
              <w:pStyle w:val="6"/>
              <w:spacing w:before="47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网络与信息安全</w:t>
            </w:r>
          </w:p>
          <w:p w14:paraId="1D2C8F72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数据科学与大数据技术</w:t>
            </w:r>
          </w:p>
          <w:p w14:paraId="7A8C57D8">
            <w:pPr>
              <w:pStyle w:val="6"/>
              <w:spacing w:before="51" w:line="22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AI+</w:t>
            </w:r>
            <w:r>
              <w:rPr>
                <w:rFonts w:ascii="宋体" w:hAnsi="宋体" w:eastAsia="宋体" w:cs="宋体"/>
                <w:spacing w:val="-3"/>
              </w:rPr>
              <w:t>物联网</w:t>
            </w:r>
          </w:p>
          <w:p w14:paraId="46045442">
            <w:pPr>
              <w:pStyle w:val="6"/>
              <w:spacing w:before="38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数据中心基础设施运维</w:t>
            </w:r>
          </w:p>
          <w:p w14:paraId="54191E06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通信网络技术与应用</w:t>
            </w:r>
          </w:p>
          <w:p w14:paraId="118D5286">
            <w:pPr>
              <w:pStyle w:val="6"/>
              <w:spacing w:before="90" w:line="189" w:lineRule="auto"/>
              <w:ind w:left="124"/>
            </w:pPr>
            <w:r>
              <w:rPr>
                <w:spacing w:val="-18"/>
              </w:rPr>
              <w:t>l</w:t>
            </w:r>
            <w:r>
              <w:rPr>
                <w:spacing w:val="-203"/>
              </w:rPr>
              <w:t xml:space="preserve"> </w:t>
            </w:r>
            <w:r>
              <w:rPr>
                <w:u w:val="dotted" w:color="auto"/>
              </w:rPr>
              <w:t xml:space="preserve">  </w:t>
            </w:r>
          </w:p>
        </w:tc>
      </w:tr>
      <w:tr w14:paraId="39403D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2B116D53">
            <w:pPr>
              <w:spacing w:line="264" w:lineRule="auto"/>
              <w:rPr>
                <w:rFonts w:ascii="Arial"/>
                <w:sz w:val="21"/>
              </w:rPr>
            </w:pPr>
          </w:p>
          <w:p w14:paraId="7B7E2553">
            <w:pPr>
              <w:spacing w:line="264" w:lineRule="auto"/>
              <w:rPr>
                <w:rFonts w:ascii="Arial"/>
                <w:sz w:val="21"/>
              </w:rPr>
            </w:pPr>
          </w:p>
          <w:p w14:paraId="595FBFA1">
            <w:pPr>
              <w:spacing w:line="265" w:lineRule="auto"/>
              <w:rPr>
                <w:rFonts w:ascii="Arial"/>
                <w:sz w:val="21"/>
              </w:rPr>
            </w:pPr>
          </w:p>
          <w:p w14:paraId="263B3541">
            <w:pPr>
              <w:spacing w:before="64" w:line="233" w:lineRule="auto"/>
              <w:ind w:left="48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3385" w:type="dxa"/>
            <w:vAlign w:val="top"/>
          </w:tcPr>
          <w:p w14:paraId="68C43E79">
            <w:pPr>
              <w:spacing w:line="352" w:lineRule="auto"/>
              <w:rPr>
                <w:rFonts w:ascii="Arial"/>
                <w:sz w:val="21"/>
              </w:rPr>
            </w:pPr>
          </w:p>
          <w:p w14:paraId="62295DCB">
            <w:pPr>
              <w:spacing w:line="352" w:lineRule="auto"/>
              <w:rPr>
                <w:rFonts w:ascii="Arial"/>
                <w:sz w:val="21"/>
              </w:rPr>
            </w:pPr>
          </w:p>
          <w:p w14:paraId="502675CC">
            <w:pPr>
              <w:spacing w:before="91" w:line="217" w:lineRule="auto"/>
              <w:ind w:left="11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低空经济</w:t>
            </w:r>
          </w:p>
        </w:tc>
        <w:tc>
          <w:tcPr>
            <w:tcW w:w="4066" w:type="dxa"/>
            <w:vAlign w:val="top"/>
          </w:tcPr>
          <w:p w14:paraId="4E8AA32F">
            <w:pPr>
              <w:pStyle w:val="6"/>
              <w:spacing w:before="48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无人机应用技术</w:t>
            </w:r>
          </w:p>
          <w:p w14:paraId="430D3E1B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低空技术与工程</w:t>
            </w:r>
          </w:p>
          <w:p w14:paraId="506B4926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低空无线通信技术及应用</w:t>
            </w:r>
          </w:p>
          <w:p w14:paraId="70485834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低空经济规划管理</w:t>
            </w:r>
          </w:p>
          <w:p w14:paraId="5EE7B41A">
            <w:pPr>
              <w:pStyle w:val="6"/>
              <w:spacing w:before="49" w:line="258" w:lineRule="auto"/>
              <w:ind w:left="124" w:right="1370"/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低空信息感知与系统安全</w:t>
            </w:r>
            <w:r>
              <w:rPr>
                <w:spacing w:val="-18"/>
              </w:rPr>
              <w:t>l</w:t>
            </w:r>
            <w:r>
              <w:rPr>
                <w:spacing w:val="-203"/>
              </w:rPr>
              <w:t xml:space="preserve"> </w:t>
            </w:r>
            <w:r>
              <w:rPr>
                <w:u w:val="dotted" w:color="auto"/>
              </w:rPr>
              <w:t xml:space="preserve">  </w:t>
            </w:r>
          </w:p>
        </w:tc>
      </w:tr>
      <w:tr w14:paraId="08EA87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1077" w:type="dxa"/>
            <w:vAlign w:val="top"/>
          </w:tcPr>
          <w:p w14:paraId="0FE63A74">
            <w:pPr>
              <w:spacing w:line="265" w:lineRule="auto"/>
              <w:rPr>
                <w:rFonts w:ascii="Arial"/>
                <w:sz w:val="21"/>
              </w:rPr>
            </w:pPr>
          </w:p>
          <w:p w14:paraId="7E4AA318">
            <w:pPr>
              <w:spacing w:line="265" w:lineRule="auto"/>
              <w:rPr>
                <w:rFonts w:ascii="Arial"/>
                <w:sz w:val="21"/>
              </w:rPr>
            </w:pPr>
          </w:p>
          <w:p w14:paraId="385A8D1D">
            <w:pPr>
              <w:spacing w:line="266" w:lineRule="auto"/>
              <w:rPr>
                <w:rFonts w:ascii="Arial"/>
                <w:sz w:val="21"/>
              </w:rPr>
            </w:pPr>
          </w:p>
          <w:p w14:paraId="141F556E">
            <w:pPr>
              <w:spacing w:before="63" w:line="236" w:lineRule="auto"/>
              <w:ind w:left="48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3385" w:type="dxa"/>
            <w:vAlign w:val="top"/>
          </w:tcPr>
          <w:p w14:paraId="1C9A290B">
            <w:pPr>
              <w:spacing w:line="353" w:lineRule="auto"/>
              <w:rPr>
                <w:rFonts w:ascii="Arial"/>
                <w:sz w:val="21"/>
              </w:rPr>
            </w:pPr>
          </w:p>
          <w:p w14:paraId="4E4645E6">
            <w:pPr>
              <w:spacing w:line="354" w:lineRule="auto"/>
              <w:rPr>
                <w:rFonts w:ascii="Arial"/>
                <w:sz w:val="21"/>
              </w:rPr>
            </w:pPr>
          </w:p>
          <w:p w14:paraId="1A6DCA2D">
            <w:pPr>
              <w:spacing w:before="91" w:line="216" w:lineRule="auto"/>
              <w:ind w:left="43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智能网联新能源汽车</w:t>
            </w:r>
          </w:p>
        </w:tc>
        <w:tc>
          <w:tcPr>
            <w:tcW w:w="4066" w:type="dxa"/>
            <w:vAlign w:val="top"/>
          </w:tcPr>
          <w:p w14:paraId="4DFA8CD8">
            <w:pPr>
              <w:pStyle w:val="6"/>
              <w:spacing w:before="51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新能源汽车零部件智造工程</w:t>
            </w:r>
          </w:p>
          <w:p w14:paraId="4D0DC21A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新能源电池科学与技术</w:t>
            </w:r>
          </w:p>
          <w:p w14:paraId="020612AA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车路协同与网联技术</w:t>
            </w:r>
          </w:p>
          <w:p w14:paraId="504E7BDD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智能驾驶技术</w:t>
            </w:r>
          </w:p>
          <w:p w14:paraId="544C5200">
            <w:pPr>
              <w:pStyle w:val="6"/>
              <w:spacing w:before="48" w:line="258" w:lineRule="auto"/>
              <w:ind w:left="124" w:right="1370"/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智能网联汽车检测与运维</w:t>
            </w:r>
            <w:r>
              <w:rPr>
                <w:spacing w:val="-18"/>
              </w:rPr>
              <w:t>l</w:t>
            </w:r>
            <w:r>
              <w:rPr>
                <w:spacing w:val="-203"/>
              </w:rPr>
              <w:t xml:space="preserve"> </w:t>
            </w:r>
            <w:r>
              <w:rPr>
                <w:u w:val="dotted" w:color="auto"/>
              </w:rPr>
              <w:t xml:space="preserve">  </w:t>
            </w:r>
          </w:p>
        </w:tc>
      </w:tr>
      <w:tr w14:paraId="516403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61C1EEB4">
            <w:pPr>
              <w:spacing w:line="265" w:lineRule="auto"/>
              <w:rPr>
                <w:rFonts w:ascii="Arial"/>
                <w:sz w:val="21"/>
              </w:rPr>
            </w:pPr>
          </w:p>
          <w:p w14:paraId="6CD7571C">
            <w:pPr>
              <w:spacing w:line="265" w:lineRule="auto"/>
              <w:rPr>
                <w:rFonts w:ascii="Arial"/>
                <w:sz w:val="21"/>
              </w:rPr>
            </w:pPr>
          </w:p>
          <w:p w14:paraId="4FF0D732">
            <w:pPr>
              <w:spacing w:line="266" w:lineRule="auto"/>
              <w:rPr>
                <w:rFonts w:ascii="Arial"/>
                <w:sz w:val="21"/>
              </w:rPr>
            </w:pPr>
          </w:p>
          <w:p w14:paraId="41AA3332">
            <w:pPr>
              <w:spacing w:before="63" w:line="233" w:lineRule="auto"/>
              <w:ind w:left="49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3385" w:type="dxa"/>
            <w:vAlign w:val="top"/>
          </w:tcPr>
          <w:p w14:paraId="1C1FF3D1">
            <w:pPr>
              <w:spacing w:line="353" w:lineRule="auto"/>
              <w:rPr>
                <w:rFonts w:ascii="Arial"/>
                <w:sz w:val="21"/>
              </w:rPr>
            </w:pPr>
          </w:p>
          <w:p w14:paraId="2B7BA873">
            <w:pPr>
              <w:spacing w:line="354" w:lineRule="auto"/>
              <w:rPr>
                <w:rFonts w:ascii="Arial"/>
                <w:sz w:val="21"/>
              </w:rPr>
            </w:pPr>
          </w:p>
          <w:p w14:paraId="677ADE41">
            <w:pPr>
              <w:spacing w:before="91" w:line="218" w:lineRule="auto"/>
              <w:ind w:left="114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集成电路</w:t>
            </w:r>
          </w:p>
        </w:tc>
        <w:tc>
          <w:tcPr>
            <w:tcW w:w="4066" w:type="dxa"/>
            <w:vAlign w:val="top"/>
          </w:tcPr>
          <w:p w14:paraId="4740C154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芯片前端设计与验证</w:t>
            </w:r>
          </w:p>
          <w:p w14:paraId="36FF3676">
            <w:pPr>
              <w:pStyle w:val="6"/>
              <w:spacing w:before="49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半导体制造与工艺</w:t>
            </w:r>
          </w:p>
          <w:p w14:paraId="09D455C2">
            <w:pPr>
              <w:pStyle w:val="6"/>
              <w:spacing w:before="48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集成电路封测技术</w:t>
            </w:r>
          </w:p>
          <w:p w14:paraId="48AA1B6E">
            <w:pPr>
              <w:pStyle w:val="6"/>
              <w:spacing w:before="50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FPGA </w:t>
            </w:r>
            <w:r>
              <w:rPr>
                <w:rFonts w:ascii="宋体" w:hAnsi="宋体" w:eastAsia="宋体" w:cs="宋体"/>
                <w:spacing w:val="-2"/>
              </w:rPr>
              <w:t>系统设计与开发</w:t>
            </w:r>
          </w:p>
          <w:p w14:paraId="1BE98C28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半导体设备技术与维护</w:t>
            </w:r>
          </w:p>
          <w:p w14:paraId="47FBC16A">
            <w:pPr>
              <w:pStyle w:val="6"/>
              <w:spacing w:before="91" w:line="189" w:lineRule="auto"/>
              <w:ind w:left="124"/>
            </w:pPr>
            <w:r>
              <w:rPr>
                <w:spacing w:val="-18"/>
              </w:rPr>
              <w:t>l</w:t>
            </w:r>
            <w:r>
              <w:rPr>
                <w:spacing w:val="-203"/>
              </w:rPr>
              <w:t xml:space="preserve"> </w:t>
            </w:r>
            <w:r>
              <w:rPr>
                <w:u w:val="dotted" w:color="auto"/>
              </w:rPr>
              <w:t xml:space="preserve">  </w:t>
            </w:r>
          </w:p>
        </w:tc>
      </w:tr>
      <w:tr w14:paraId="0E932E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077" w:type="dxa"/>
            <w:vAlign w:val="top"/>
          </w:tcPr>
          <w:p w14:paraId="6AC266F8">
            <w:pPr>
              <w:spacing w:line="265" w:lineRule="auto"/>
              <w:rPr>
                <w:rFonts w:ascii="Arial"/>
                <w:sz w:val="21"/>
              </w:rPr>
            </w:pPr>
          </w:p>
          <w:p w14:paraId="7F197791">
            <w:pPr>
              <w:spacing w:line="265" w:lineRule="auto"/>
              <w:rPr>
                <w:rFonts w:ascii="Arial"/>
                <w:sz w:val="21"/>
              </w:rPr>
            </w:pPr>
          </w:p>
          <w:p w14:paraId="48870E71">
            <w:pPr>
              <w:spacing w:line="266" w:lineRule="auto"/>
              <w:rPr>
                <w:rFonts w:ascii="Arial"/>
                <w:sz w:val="21"/>
              </w:rPr>
            </w:pPr>
          </w:p>
          <w:p w14:paraId="174F44F1">
            <w:pPr>
              <w:spacing w:before="64" w:line="233" w:lineRule="auto"/>
              <w:ind w:left="489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</w:tc>
        <w:tc>
          <w:tcPr>
            <w:tcW w:w="3385" w:type="dxa"/>
            <w:vAlign w:val="top"/>
          </w:tcPr>
          <w:p w14:paraId="3A66FD62">
            <w:pPr>
              <w:spacing w:line="354" w:lineRule="auto"/>
              <w:rPr>
                <w:rFonts w:ascii="Arial"/>
                <w:sz w:val="21"/>
              </w:rPr>
            </w:pPr>
          </w:p>
          <w:p w14:paraId="379D5E96">
            <w:pPr>
              <w:spacing w:line="354" w:lineRule="auto"/>
              <w:rPr>
                <w:rFonts w:ascii="Arial"/>
                <w:sz w:val="21"/>
              </w:rPr>
            </w:pPr>
          </w:p>
          <w:p w14:paraId="18C92979">
            <w:pPr>
              <w:spacing w:before="91" w:line="217" w:lineRule="auto"/>
              <w:ind w:left="45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生命健康与生物医药</w:t>
            </w:r>
          </w:p>
        </w:tc>
        <w:tc>
          <w:tcPr>
            <w:tcW w:w="4066" w:type="dxa"/>
            <w:vAlign w:val="top"/>
          </w:tcPr>
          <w:p w14:paraId="6E25A42D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健康医疗大数据</w:t>
            </w:r>
          </w:p>
          <w:p w14:paraId="14814246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药物临床试验研究与监管</w:t>
            </w:r>
          </w:p>
          <w:p w14:paraId="7EB52CC8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4"/>
              </w:rPr>
              <w:t>l</w:t>
            </w:r>
            <w:r>
              <w:rPr>
                <w:rFonts w:ascii="宋体" w:hAnsi="宋体" w:eastAsia="宋体" w:cs="宋体"/>
                <w:spacing w:val="-4"/>
              </w:rPr>
              <w:t>药膳康养</w:t>
            </w:r>
          </w:p>
          <w:p w14:paraId="53D65D9F">
            <w:pPr>
              <w:pStyle w:val="6"/>
              <w:spacing w:before="49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创新药物研发与评价</w:t>
            </w:r>
          </w:p>
          <w:p w14:paraId="16DAF33E">
            <w:pPr>
              <w:pStyle w:val="6"/>
              <w:spacing w:before="51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生物技术制药工程</w:t>
            </w:r>
          </w:p>
          <w:p w14:paraId="15DFD7B5">
            <w:pPr>
              <w:pStyle w:val="6"/>
              <w:spacing w:before="91" w:line="189" w:lineRule="auto"/>
              <w:ind w:left="124"/>
            </w:pPr>
            <w:r>
              <w:rPr>
                <w:spacing w:val="-18"/>
              </w:rPr>
              <w:t>l</w:t>
            </w:r>
            <w:r>
              <w:rPr>
                <w:spacing w:val="-203"/>
              </w:rPr>
              <w:t xml:space="preserve"> </w:t>
            </w:r>
            <w:r>
              <w:rPr>
                <w:u w:val="dotted" w:color="auto"/>
              </w:rPr>
              <w:t xml:space="preserve">  </w:t>
            </w:r>
          </w:p>
        </w:tc>
      </w:tr>
    </w:tbl>
    <w:p w14:paraId="07DF62D2">
      <w:pPr>
        <w:rPr>
          <w:rFonts w:ascii="Arial"/>
          <w:sz w:val="21"/>
        </w:rPr>
      </w:pPr>
    </w:p>
    <w:p w14:paraId="27238A84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7" w:h="16839"/>
          <w:pgMar w:top="1431" w:right="1684" w:bottom="1345" w:left="1687" w:header="0" w:footer="981" w:gutter="0"/>
          <w:cols w:space="720" w:num="1"/>
        </w:sectPr>
      </w:pPr>
    </w:p>
    <w:p w14:paraId="27C7D3BB">
      <w:pPr>
        <w:spacing w:line="91" w:lineRule="auto"/>
        <w:rPr>
          <w:rFonts w:ascii="Arial"/>
          <w:sz w:val="2"/>
        </w:rPr>
      </w:pPr>
    </w:p>
    <w:tbl>
      <w:tblPr>
        <w:tblStyle w:val="5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7"/>
        <w:gridCol w:w="3385"/>
        <w:gridCol w:w="4066"/>
      </w:tblGrid>
      <w:tr w14:paraId="552F62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077" w:type="dxa"/>
            <w:vAlign w:val="top"/>
          </w:tcPr>
          <w:p w14:paraId="0CCA4525">
            <w:pPr>
              <w:spacing w:line="265" w:lineRule="auto"/>
              <w:rPr>
                <w:rFonts w:ascii="Arial"/>
                <w:sz w:val="21"/>
              </w:rPr>
            </w:pPr>
          </w:p>
          <w:p w14:paraId="49701DD4">
            <w:pPr>
              <w:spacing w:line="265" w:lineRule="auto"/>
              <w:rPr>
                <w:rFonts w:ascii="Arial"/>
                <w:sz w:val="21"/>
              </w:rPr>
            </w:pPr>
          </w:p>
          <w:p w14:paraId="7154D0D3">
            <w:pPr>
              <w:spacing w:line="266" w:lineRule="auto"/>
              <w:rPr>
                <w:rFonts w:ascii="Arial"/>
                <w:sz w:val="21"/>
              </w:rPr>
            </w:pPr>
          </w:p>
          <w:p w14:paraId="0C9E9894">
            <w:pPr>
              <w:spacing w:before="63" w:line="233" w:lineRule="auto"/>
              <w:ind w:left="487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</w:tc>
        <w:tc>
          <w:tcPr>
            <w:tcW w:w="3385" w:type="dxa"/>
            <w:vAlign w:val="top"/>
          </w:tcPr>
          <w:p w14:paraId="48E6C24C">
            <w:pPr>
              <w:spacing w:line="353" w:lineRule="auto"/>
              <w:rPr>
                <w:rFonts w:ascii="Arial"/>
                <w:sz w:val="21"/>
              </w:rPr>
            </w:pPr>
          </w:p>
          <w:p w14:paraId="1C845D1D">
            <w:pPr>
              <w:spacing w:line="354" w:lineRule="auto"/>
              <w:rPr>
                <w:rFonts w:ascii="Arial"/>
                <w:sz w:val="21"/>
              </w:rPr>
            </w:pPr>
          </w:p>
          <w:p w14:paraId="79BA0AF3">
            <w:pPr>
              <w:spacing w:before="91" w:line="218" w:lineRule="auto"/>
              <w:ind w:left="128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新能源</w:t>
            </w:r>
          </w:p>
        </w:tc>
        <w:tc>
          <w:tcPr>
            <w:tcW w:w="4066" w:type="dxa"/>
            <w:vAlign w:val="top"/>
          </w:tcPr>
          <w:p w14:paraId="512EBC72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碳中和技术</w:t>
            </w:r>
          </w:p>
          <w:p w14:paraId="1FC1B237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光伏储能工程</w:t>
            </w:r>
          </w:p>
          <w:p w14:paraId="71D5350F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清洁能源与低碳技术</w:t>
            </w:r>
          </w:p>
          <w:p w14:paraId="29D1FBF2">
            <w:pPr>
              <w:pStyle w:val="6"/>
              <w:spacing w:before="49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4"/>
              </w:rPr>
              <w:t>l</w:t>
            </w:r>
            <w:r>
              <w:rPr>
                <w:rFonts w:ascii="宋体" w:hAnsi="宋体" w:eastAsia="宋体" w:cs="宋体"/>
                <w:spacing w:val="-4"/>
              </w:rPr>
              <w:t>能源经济</w:t>
            </w:r>
          </w:p>
          <w:p w14:paraId="1CCF90FD">
            <w:pPr>
              <w:pStyle w:val="6"/>
              <w:spacing w:before="49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智慧能源与虚拟电厂</w:t>
            </w:r>
          </w:p>
          <w:p w14:paraId="5110CEE2">
            <w:pPr>
              <w:pStyle w:val="6"/>
              <w:spacing w:before="92" w:line="189" w:lineRule="auto"/>
              <w:ind w:left="124"/>
            </w:pPr>
            <w:r>
              <w:rPr>
                <w:spacing w:val="-18"/>
              </w:rPr>
              <w:t>l</w:t>
            </w:r>
            <w:r>
              <w:rPr>
                <w:spacing w:val="-204"/>
              </w:rPr>
              <w:t xml:space="preserve"> </w:t>
            </w:r>
            <w:r>
              <w:rPr>
                <w:u w:val="dotted" w:color="auto"/>
              </w:rPr>
              <w:t xml:space="preserve">  </w:t>
            </w:r>
          </w:p>
        </w:tc>
      </w:tr>
      <w:tr w14:paraId="7445C7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17A67982">
            <w:pPr>
              <w:spacing w:line="264" w:lineRule="auto"/>
              <w:rPr>
                <w:rFonts w:ascii="Arial"/>
                <w:sz w:val="21"/>
              </w:rPr>
            </w:pPr>
          </w:p>
          <w:p w14:paraId="4ED5C338">
            <w:pPr>
              <w:spacing w:line="264" w:lineRule="auto"/>
              <w:rPr>
                <w:rFonts w:ascii="Arial"/>
                <w:sz w:val="21"/>
              </w:rPr>
            </w:pPr>
          </w:p>
          <w:p w14:paraId="38159D70">
            <w:pPr>
              <w:spacing w:line="264" w:lineRule="auto"/>
              <w:rPr>
                <w:rFonts w:ascii="Arial"/>
                <w:sz w:val="21"/>
              </w:rPr>
            </w:pPr>
          </w:p>
          <w:p w14:paraId="473F6787">
            <w:pPr>
              <w:spacing w:before="63" w:line="233" w:lineRule="auto"/>
              <w:ind w:left="49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3385" w:type="dxa"/>
            <w:vAlign w:val="top"/>
          </w:tcPr>
          <w:p w14:paraId="7CED3F19">
            <w:pPr>
              <w:spacing w:line="351" w:lineRule="auto"/>
              <w:rPr>
                <w:rFonts w:ascii="Arial"/>
                <w:sz w:val="21"/>
              </w:rPr>
            </w:pPr>
          </w:p>
          <w:p w14:paraId="0A389B0A">
            <w:pPr>
              <w:spacing w:line="352" w:lineRule="auto"/>
              <w:rPr>
                <w:rFonts w:ascii="Arial"/>
                <w:sz w:val="21"/>
              </w:rPr>
            </w:pPr>
          </w:p>
          <w:p w14:paraId="2A19185A">
            <w:pPr>
              <w:spacing w:before="91" w:line="216" w:lineRule="auto"/>
              <w:ind w:left="128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新材料</w:t>
            </w:r>
          </w:p>
        </w:tc>
        <w:tc>
          <w:tcPr>
            <w:tcW w:w="4066" w:type="dxa"/>
            <w:vAlign w:val="top"/>
          </w:tcPr>
          <w:p w14:paraId="7F9409FF">
            <w:pPr>
              <w:pStyle w:val="6"/>
              <w:spacing w:before="46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海洋材料与再制造技术</w:t>
            </w:r>
          </w:p>
          <w:p w14:paraId="2FEE33F0">
            <w:pPr>
              <w:pStyle w:val="6"/>
              <w:spacing w:before="51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半导体材料与器件</w:t>
            </w:r>
          </w:p>
          <w:p w14:paraId="7E29AA8C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新型玻璃装备智能制造技术</w:t>
            </w:r>
          </w:p>
          <w:p w14:paraId="62A12889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智能材料与器件</w:t>
            </w:r>
          </w:p>
          <w:p w14:paraId="7295FAA3">
            <w:pPr>
              <w:pStyle w:val="6"/>
              <w:spacing w:before="51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材料计算与模拟</w:t>
            </w:r>
          </w:p>
          <w:p w14:paraId="4EB225F1">
            <w:pPr>
              <w:spacing w:before="92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285750" cy="92710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4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1CA3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3AC3046C">
            <w:pPr>
              <w:spacing w:line="264" w:lineRule="auto"/>
              <w:rPr>
                <w:rFonts w:ascii="Arial"/>
                <w:sz w:val="21"/>
              </w:rPr>
            </w:pPr>
          </w:p>
          <w:p w14:paraId="5B0108CB">
            <w:pPr>
              <w:spacing w:line="264" w:lineRule="auto"/>
              <w:rPr>
                <w:rFonts w:ascii="Arial"/>
                <w:sz w:val="21"/>
              </w:rPr>
            </w:pPr>
          </w:p>
          <w:p w14:paraId="198B5AEA">
            <w:pPr>
              <w:spacing w:line="265" w:lineRule="auto"/>
              <w:rPr>
                <w:rFonts w:ascii="Arial"/>
                <w:sz w:val="21"/>
              </w:rPr>
            </w:pPr>
          </w:p>
          <w:p w14:paraId="6446A9D4">
            <w:pPr>
              <w:spacing w:before="63" w:line="233" w:lineRule="auto"/>
              <w:ind w:left="48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3385" w:type="dxa"/>
            <w:vAlign w:val="top"/>
          </w:tcPr>
          <w:p w14:paraId="3C5FA1C3">
            <w:pPr>
              <w:spacing w:line="352" w:lineRule="auto"/>
              <w:rPr>
                <w:rFonts w:ascii="Arial"/>
                <w:sz w:val="21"/>
              </w:rPr>
            </w:pPr>
          </w:p>
          <w:p w14:paraId="1DB59596">
            <w:pPr>
              <w:spacing w:line="352" w:lineRule="auto"/>
              <w:rPr>
                <w:rFonts w:ascii="Arial"/>
                <w:sz w:val="21"/>
              </w:rPr>
            </w:pPr>
          </w:p>
          <w:p w14:paraId="125F9CF8">
            <w:pPr>
              <w:spacing w:before="91" w:line="219" w:lineRule="auto"/>
              <w:ind w:left="71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智慧生态与农业</w:t>
            </w:r>
          </w:p>
        </w:tc>
        <w:tc>
          <w:tcPr>
            <w:tcW w:w="4066" w:type="dxa"/>
            <w:vAlign w:val="top"/>
          </w:tcPr>
          <w:p w14:paraId="503C35B5">
            <w:pPr>
              <w:pStyle w:val="6"/>
              <w:spacing w:before="47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种子科学与工程</w:t>
            </w:r>
          </w:p>
          <w:p w14:paraId="1B2BA253">
            <w:pPr>
              <w:pStyle w:val="6"/>
              <w:spacing w:before="51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乡村旅游开发与管理</w:t>
            </w:r>
          </w:p>
          <w:p w14:paraId="31007EEA">
            <w:pPr>
              <w:pStyle w:val="6"/>
              <w:spacing w:before="51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农村环境治理及智能监管</w:t>
            </w:r>
          </w:p>
          <w:p w14:paraId="69CD8D75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农业与数字经济</w:t>
            </w:r>
          </w:p>
          <w:p w14:paraId="01D79C1F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智慧畜牧养殖</w:t>
            </w:r>
          </w:p>
          <w:p w14:paraId="1B4B1AD3">
            <w:pPr>
              <w:spacing w:before="91" w:line="147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0639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9" w:hRule="atLeast"/>
        </w:trPr>
        <w:tc>
          <w:tcPr>
            <w:tcW w:w="1077" w:type="dxa"/>
            <w:vAlign w:val="top"/>
          </w:tcPr>
          <w:p w14:paraId="6FCE3ACD">
            <w:pPr>
              <w:spacing w:line="265" w:lineRule="auto"/>
              <w:rPr>
                <w:rFonts w:ascii="Arial"/>
                <w:sz w:val="21"/>
              </w:rPr>
            </w:pPr>
          </w:p>
          <w:p w14:paraId="1A0F3702">
            <w:pPr>
              <w:spacing w:line="265" w:lineRule="auto"/>
              <w:rPr>
                <w:rFonts w:ascii="Arial"/>
                <w:sz w:val="21"/>
              </w:rPr>
            </w:pPr>
          </w:p>
          <w:p w14:paraId="5CFB2FBB">
            <w:pPr>
              <w:spacing w:line="266" w:lineRule="auto"/>
              <w:rPr>
                <w:rFonts w:ascii="Arial"/>
                <w:sz w:val="21"/>
              </w:rPr>
            </w:pPr>
          </w:p>
          <w:p w14:paraId="07681871">
            <w:pPr>
              <w:spacing w:before="63" w:line="233" w:lineRule="auto"/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3385" w:type="dxa"/>
            <w:vAlign w:val="top"/>
          </w:tcPr>
          <w:p w14:paraId="0406D78F">
            <w:pPr>
              <w:spacing w:line="353" w:lineRule="auto"/>
              <w:rPr>
                <w:rFonts w:ascii="Arial"/>
                <w:sz w:val="21"/>
              </w:rPr>
            </w:pPr>
          </w:p>
          <w:p w14:paraId="5DA99794">
            <w:pPr>
              <w:spacing w:line="354" w:lineRule="auto"/>
              <w:rPr>
                <w:rFonts w:ascii="Arial"/>
                <w:sz w:val="21"/>
              </w:rPr>
            </w:pPr>
          </w:p>
          <w:p w14:paraId="496E47B3">
            <w:pPr>
              <w:spacing w:before="91" w:line="220" w:lineRule="auto"/>
              <w:ind w:left="11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航空航天</w:t>
            </w:r>
          </w:p>
        </w:tc>
        <w:tc>
          <w:tcPr>
            <w:tcW w:w="4066" w:type="dxa"/>
            <w:vAlign w:val="top"/>
          </w:tcPr>
          <w:p w14:paraId="51E0A73D">
            <w:pPr>
              <w:pStyle w:val="6"/>
              <w:spacing w:before="50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卫星导航与遥感应用</w:t>
            </w:r>
          </w:p>
          <w:p w14:paraId="6B3C05BB">
            <w:pPr>
              <w:pStyle w:val="6"/>
              <w:spacing w:before="48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空间载荷技术与应用</w:t>
            </w:r>
          </w:p>
          <w:p w14:paraId="568B8819">
            <w:pPr>
              <w:pStyle w:val="6"/>
              <w:spacing w:before="49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智能飞行器设计与应用</w:t>
            </w:r>
          </w:p>
          <w:p w14:paraId="79FED94D">
            <w:pPr>
              <w:pStyle w:val="6"/>
              <w:spacing w:before="48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航空电子与控制系统</w:t>
            </w:r>
          </w:p>
          <w:p w14:paraId="5B8715C4">
            <w:pPr>
              <w:pStyle w:val="6"/>
              <w:spacing w:before="48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航空航天适航与安全</w:t>
            </w:r>
          </w:p>
          <w:p w14:paraId="09758058">
            <w:pPr>
              <w:spacing w:before="91" w:line="147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4C3B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353A997F">
            <w:pPr>
              <w:spacing w:line="264" w:lineRule="auto"/>
              <w:rPr>
                <w:rFonts w:ascii="Arial"/>
                <w:sz w:val="21"/>
              </w:rPr>
            </w:pPr>
          </w:p>
          <w:p w14:paraId="617C6AA7">
            <w:pPr>
              <w:spacing w:line="264" w:lineRule="auto"/>
              <w:rPr>
                <w:rFonts w:ascii="Arial"/>
                <w:sz w:val="21"/>
              </w:rPr>
            </w:pPr>
          </w:p>
          <w:p w14:paraId="083A2DF5">
            <w:pPr>
              <w:spacing w:line="265" w:lineRule="auto"/>
              <w:rPr>
                <w:rFonts w:ascii="Arial"/>
                <w:sz w:val="21"/>
              </w:rPr>
            </w:pPr>
          </w:p>
          <w:p w14:paraId="69BB1E01">
            <w:pPr>
              <w:spacing w:before="64" w:line="236" w:lineRule="auto"/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2"/>
                <w:szCs w:val="22"/>
              </w:rPr>
              <w:t>11</w:t>
            </w:r>
          </w:p>
        </w:tc>
        <w:tc>
          <w:tcPr>
            <w:tcW w:w="3385" w:type="dxa"/>
            <w:vAlign w:val="top"/>
          </w:tcPr>
          <w:p w14:paraId="38655586">
            <w:pPr>
              <w:spacing w:line="352" w:lineRule="auto"/>
              <w:rPr>
                <w:rFonts w:ascii="Arial"/>
                <w:sz w:val="21"/>
              </w:rPr>
            </w:pPr>
          </w:p>
          <w:p w14:paraId="2CE6780E">
            <w:pPr>
              <w:spacing w:line="352" w:lineRule="auto"/>
              <w:rPr>
                <w:rFonts w:ascii="Arial"/>
                <w:sz w:val="21"/>
              </w:rPr>
            </w:pPr>
          </w:p>
          <w:p w14:paraId="486B5A03">
            <w:pPr>
              <w:spacing w:before="91" w:line="219" w:lineRule="auto"/>
              <w:ind w:left="114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量子科技</w:t>
            </w:r>
          </w:p>
        </w:tc>
        <w:tc>
          <w:tcPr>
            <w:tcW w:w="4066" w:type="dxa"/>
            <w:vAlign w:val="top"/>
          </w:tcPr>
          <w:p w14:paraId="4FE3372F">
            <w:pPr>
              <w:pStyle w:val="6"/>
              <w:spacing w:before="48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量子测控技术与系统</w:t>
            </w:r>
          </w:p>
          <w:p w14:paraId="53C85DAE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量子光学与器件</w:t>
            </w:r>
          </w:p>
          <w:p w14:paraId="7846DCD3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量子计算应用开发</w:t>
            </w:r>
          </w:p>
          <w:p w14:paraId="51CBA20B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量子精密测量</w:t>
            </w:r>
          </w:p>
          <w:p w14:paraId="7E292A19">
            <w:pPr>
              <w:pStyle w:val="6"/>
              <w:spacing w:before="51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量子软件与仿真</w:t>
            </w:r>
          </w:p>
          <w:p w14:paraId="1D1BB503">
            <w:pPr>
              <w:spacing w:before="91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11C4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03D77A5C">
            <w:pPr>
              <w:spacing w:line="264" w:lineRule="auto"/>
              <w:rPr>
                <w:rFonts w:ascii="Arial"/>
                <w:sz w:val="21"/>
              </w:rPr>
            </w:pPr>
          </w:p>
          <w:p w14:paraId="02C338B4">
            <w:pPr>
              <w:spacing w:line="265" w:lineRule="auto"/>
              <w:rPr>
                <w:rFonts w:ascii="Arial"/>
                <w:sz w:val="21"/>
              </w:rPr>
            </w:pPr>
          </w:p>
          <w:p w14:paraId="0CC1087C">
            <w:pPr>
              <w:spacing w:line="265" w:lineRule="auto"/>
              <w:rPr>
                <w:rFonts w:ascii="Arial"/>
                <w:sz w:val="21"/>
              </w:rPr>
            </w:pPr>
          </w:p>
          <w:p w14:paraId="3D4F8C18">
            <w:pPr>
              <w:spacing w:before="63" w:line="236" w:lineRule="auto"/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2"/>
                <w:szCs w:val="22"/>
              </w:rPr>
              <w:t>12</w:t>
            </w:r>
          </w:p>
        </w:tc>
        <w:tc>
          <w:tcPr>
            <w:tcW w:w="3385" w:type="dxa"/>
            <w:vAlign w:val="top"/>
          </w:tcPr>
          <w:p w14:paraId="0EFD29F8">
            <w:pPr>
              <w:spacing w:line="352" w:lineRule="auto"/>
              <w:rPr>
                <w:rFonts w:ascii="Arial"/>
                <w:sz w:val="21"/>
              </w:rPr>
            </w:pPr>
          </w:p>
          <w:p w14:paraId="439A1233">
            <w:pPr>
              <w:spacing w:line="353" w:lineRule="auto"/>
              <w:rPr>
                <w:rFonts w:ascii="Arial"/>
                <w:sz w:val="21"/>
              </w:rPr>
            </w:pPr>
          </w:p>
          <w:p w14:paraId="6C71A849">
            <w:pPr>
              <w:spacing w:before="91" w:line="219" w:lineRule="auto"/>
              <w:ind w:left="86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深海深地科技</w:t>
            </w:r>
          </w:p>
        </w:tc>
        <w:tc>
          <w:tcPr>
            <w:tcW w:w="4066" w:type="dxa"/>
            <w:vAlign w:val="top"/>
          </w:tcPr>
          <w:p w14:paraId="77CE8381">
            <w:pPr>
              <w:pStyle w:val="6"/>
              <w:spacing w:before="49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深海探测传感器与机器人</w:t>
            </w:r>
          </w:p>
          <w:p w14:paraId="074F8935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深海矿产资源开发技术</w:t>
            </w:r>
          </w:p>
          <w:p w14:paraId="6D621A50">
            <w:pPr>
              <w:pStyle w:val="6"/>
              <w:spacing w:before="49" w:line="222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深海生物基因资源利用</w:t>
            </w:r>
          </w:p>
          <w:p w14:paraId="3FCDBBDA">
            <w:pPr>
              <w:pStyle w:val="6"/>
              <w:spacing w:before="48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深地钻探与资源勘探</w:t>
            </w:r>
          </w:p>
          <w:p w14:paraId="15E7B950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极端环境材料与装备</w:t>
            </w:r>
          </w:p>
          <w:p w14:paraId="6F14F611">
            <w:pPr>
              <w:spacing w:before="92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108C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077" w:type="dxa"/>
            <w:vAlign w:val="top"/>
          </w:tcPr>
          <w:p w14:paraId="46B6BA6D">
            <w:pPr>
              <w:spacing w:line="265" w:lineRule="auto"/>
              <w:rPr>
                <w:rFonts w:ascii="Arial"/>
                <w:sz w:val="21"/>
              </w:rPr>
            </w:pPr>
          </w:p>
          <w:p w14:paraId="6F9990EC">
            <w:pPr>
              <w:spacing w:line="265" w:lineRule="auto"/>
              <w:rPr>
                <w:rFonts w:ascii="Arial"/>
                <w:sz w:val="21"/>
              </w:rPr>
            </w:pPr>
          </w:p>
          <w:p w14:paraId="1F1D984A">
            <w:pPr>
              <w:spacing w:line="266" w:lineRule="auto"/>
              <w:rPr>
                <w:rFonts w:ascii="Arial"/>
                <w:sz w:val="21"/>
              </w:rPr>
            </w:pPr>
          </w:p>
          <w:p w14:paraId="0C502CE8">
            <w:pPr>
              <w:spacing w:before="63" w:line="233" w:lineRule="auto"/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2"/>
                <w:szCs w:val="22"/>
              </w:rPr>
              <w:t>13</w:t>
            </w:r>
          </w:p>
        </w:tc>
        <w:tc>
          <w:tcPr>
            <w:tcW w:w="3385" w:type="dxa"/>
            <w:vAlign w:val="top"/>
          </w:tcPr>
          <w:p w14:paraId="53712EAA">
            <w:pPr>
              <w:spacing w:line="353" w:lineRule="auto"/>
              <w:rPr>
                <w:rFonts w:ascii="Arial"/>
                <w:sz w:val="21"/>
              </w:rPr>
            </w:pPr>
          </w:p>
          <w:p w14:paraId="059C354F">
            <w:pPr>
              <w:spacing w:line="354" w:lineRule="auto"/>
              <w:rPr>
                <w:rFonts w:ascii="Arial"/>
                <w:sz w:val="21"/>
              </w:rPr>
            </w:pPr>
          </w:p>
          <w:p w14:paraId="5141E0CE">
            <w:pPr>
              <w:spacing w:before="91" w:line="218" w:lineRule="auto"/>
              <w:ind w:left="87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高端装备制造</w:t>
            </w:r>
          </w:p>
        </w:tc>
        <w:tc>
          <w:tcPr>
            <w:tcW w:w="4066" w:type="dxa"/>
            <w:vAlign w:val="top"/>
          </w:tcPr>
          <w:p w14:paraId="77E0886F">
            <w:pPr>
              <w:pStyle w:val="6"/>
              <w:spacing w:before="49" w:line="232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复杂装备</w:t>
            </w:r>
            <w:r>
              <w:rPr>
                <w:rFonts w:ascii="Calibri" w:hAnsi="Calibri" w:eastAsia="Calibri" w:cs="Calibri"/>
                <w:spacing w:val="-2"/>
              </w:rPr>
              <w:t>/</w:t>
            </w:r>
            <w:r>
              <w:rPr>
                <w:rFonts w:ascii="宋体" w:hAnsi="宋体" w:eastAsia="宋体" w:cs="宋体"/>
                <w:spacing w:val="-2"/>
              </w:rPr>
              <w:t>数字孪生</w:t>
            </w:r>
          </w:p>
          <w:p w14:paraId="5BA9017B">
            <w:pPr>
              <w:pStyle w:val="6"/>
              <w:spacing w:before="36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光电显示技术</w:t>
            </w:r>
          </w:p>
          <w:p w14:paraId="104D5F71">
            <w:pPr>
              <w:pStyle w:val="6"/>
              <w:spacing w:before="49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智能制造工程</w:t>
            </w:r>
          </w:p>
          <w:p w14:paraId="72B3E8E2">
            <w:pPr>
              <w:pStyle w:val="6"/>
              <w:spacing w:before="48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智能装备控制技术</w:t>
            </w:r>
          </w:p>
          <w:p w14:paraId="4CDE0323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数控技术与智能机床</w:t>
            </w:r>
          </w:p>
          <w:p w14:paraId="7395E6CC">
            <w:pPr>
              <w:spacing w:before="92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EE72C">
      <w:pPr>
        <w:rPr>
          <w:rFonts w:ascii="Arial"/>
          <w:sz w:val="21"/>
        </w:rPr>
      </w:pPr>
    </w:p>
    <w:p w14:paraId="4C5682F2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7" w:h="16839"/>
          <w:pgMar w:top="1431" w:right="1684" w:bottom="1345" w:left="1687" w:header="0" w:footer="981" w:gutter="0"/>
          <w:cols w:space="720" w:num="1"/>
        </w:sectPr>
      </w:pPr>
    </w:p>
    <w:p w14:paraId="53C73A09">
      <w:pPr>
        <w:spacing w:line="91" w:lineRule="auto"/>
        <w:rPr>
          <w:rFonts w:ascii="Arial"/>
          <w:sz w:val="2"/>
        </w:rPr>
      </w:pPr>
    </w:p>
    <w:tbl>
      <w:tblPr>
        <w:tblStyle w:val="5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7"/>
        <w:gridCol w:w="3385"/>
        <w:gridCol w:w="4066"/>
      </w:tblGrid>
      <w:tr w14:paraId="3A00F7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077" w:type="dxa"/>
            <w:vAlign w:val="top"/>
          </w:tcPr>
          <w:p w14:paraId="36A73E81">
            <w:pPr>
              <w:spacing w:line="265" w:lineRule="auto"/>
              <w:rPr>
                <w:rFonts w:ascii="Arial"/>
                <w:sz w:val="21"/>
              </w:rPr>
            </w:pPr>
          </w:p>
          <w:p w14:paraId="4B78ED8A">
            <w:pPr>
              <w:spacing w:line="265" w:lineRule="auto"/>
              <w:rPr>
                <w:rFonts w:ascii="Arial"/>
                <w:sz w:val="21"/>
              </w:rPr>
            </w:pPr>
          </w:p>
          <w:p w14:paraId="473B3A4A">
            <w:pPr>
              <w:spacing w:line="266" w:lineRule="auto"/>
              <w:rPr>
                <w:rFonts w:ascii="Arial"/>
                <w:sz w:val="21"/>
              </w:rPr>
            </w:pPr>
          </w:p>
          <w:p w14:paraId="27A829AD">
            <w:pPr>
              <w:spacing w:before="63" w:line="236" w:lineRule="auto"/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2"/>
                <w:szCs w:val="22"/>
              </w:rPr>
              <w:t>14</w:t>
            </w:r>
          </w:p>
        </w:tc>
        <w:tc>
          <w:tcPr>
            <w:tcW w:w="3385" w:type="dxa"/>
            <w:vAlign w:val="top"/>
          </w:tcPr>
          <w:p w14:paraId="122045BC">
            <w:pPr>
              <w:spacing w:line="353" w:lineRule="auto"/>
              <w:rPr>
                <w:rFonts w:ascii="Arial"/>
                <w:sz w:val="21"/>
              </w:rPr>
            </w:pPr>
          </w:p>
          <w:p w14:paraId="7148B9E4">
            <w:pPr>
              <w:spacing w:line="354" w:lineRule="auto"/>
              <w:rPr>
                <w:rFonts w:ascii="Arial"/>
                <w:sz w:val="21"/>
              </w:rPr>
            </w:pPr>
          </w:p>
          <w:p w14:paraId="1C5CCAE5">
            <w:pPr>
              <w:spacing w:before="91" w:line="217" w:lineRule="auto"/>
              <w:ind w:left="11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银发经济</w:t>
            </w:r>
          </w:p>
        </w:tc>
        <w:tc>
          <w:tcPr>
            <w:tcW w:w="4066" w:type="dxa"/>
            <w:vAlign w:val="top"/>
          </w:tcPr>
          <w:p w14:paraId="7D5000C8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老年健康管理与智慧康养</w:t>
            </w:r>
          </w:p>
          <w:p w14:paraId="4348F93F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适老化产品设计与体验</w:t>
            </w:r>
          </w:p>
          <w:p w14:paraId="596E027E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养老机构运营与数字化</w:t>
            </w:r>
          </w:p>
          <w:p w14:paraId="2AE62809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养老服务管理</w:t>
            </w:r>
          </w:p>
          <w:p w14:paraId="00266851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4"/>
              </w:rPr>
              <w:t>l</w:t>
            </w:r>
            <w:r>
              <w:rPr>
                <w:rFonts w:ascii="宋体" w:hAnsi="宋体" w:eastAsia="宋体" w:cs="宋体"/>
                <w:spacing w:val="-4"/>
              </w:rPr>
              <w:t>康养护理</w:t>
            </w:r>
          </w:p>
          <w:p w14:paraId="5783C366">
            <w:pPr>
              <w:spacing w:before="91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6E98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48786859">
            <w:pPr>
              <w:spacing w:line="264" w:lineRule="auto"/>
              <w:rPr>
                <w:rFonts w:ascii="Arial"/>
                <w:sz w:val="21"/>
              </w:rPr>
            </w:pPr>
          </w:p>
          <w:p w14:paraId="5591517D">
            <w:pPr>
              <w:spacing w:line="264" w:lineRule="auto"/>
              <w:rPr>
                <w:rFonts w:ascii="Arial"/>
                <w:sz w:val="21"/>
              </w:rPr>
            </w:pPr>
          </w:p>
          <w:p w14:paraId="01DD5A42">
            <w:pPr>
              <w:spacing w:line="264" w:lineRule="auto"/>
              <w:rPr>
                <w:rFonts w:ascii="Arial"/>
                <w:sz w:val="21"/>
              </w:rPr>
            </w:pPr>
          </w:p>
          <w:p w14:paraId="29C3FD8F">
            <w:pPr>
              <w:spacing w:before="63" w:line="233" w:lineRule="auto"/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2"/>
                <w:szCs w:val="22"/>
              </w:rPr>
              <w:t>15</w:t>
            </w:r>
          </w:p>
        </w:tc>
        <w:tc>
          <w:tcPr>
            <w:tcW w:w="3385" w:type="dxa"/>
            <w:vAlign w:val="top"/>
          </w:tcPr>
          <w:p w14:paraId="4BDD1046">
            <w:pPr>
              <w:spacing w:line="351" w:lineRule="auto"/>
              <w:rPr>
                <w:rFonts w:ascii="Arial"/>
                <w:sz w:val="21"/>
              </w:rPr>
            </w:pPr>
          </w:p>
          <w:p w14:paraId="2EC91ED7">
            <w:pPr>
              <w:spacing w:line="352" w:lineRule="auto"/>
              <w:rPr>
                <w:rFonts w:ascii="Arial"/>
                <w:sz w:val="21"/>
              </w:rPr>
            </w:pPr>
          </w:p>
          <w:p w14:paraId="5671760B">
            <w:pPr>
              <w:spacing w:before="91" w:line="220" w:lineRule="auto"/>
              <w:ind w:left="114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食品安全</w:t>
            </w:r>
          </w:p>
        </w:tc>
        <w:tc>
          <w:tcPr>
            <w:tcW w:w="4066" w:type="dxa"/>
            <w:vAlign w:val="top"/>
          </w:tcPr>
          <w:p w14:paraId="045C6333">
            <w:pPr>
              <w:pStyle w:val="6"/>
              <w:spacing w:before="46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食品安全风险控制</w:t>
            </w:r>
          </w:p>
          <w:p w14:paraId="162A4694">
            <w:pPr>
              <w:pStyle w:val="6"/>
              <w:spacing w:before="48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食品合规与审计</w:t>
            </w:r>
          </w:p>
          <w:p w14:paraId="5B6F3FE6">
            <w:pPr>
              <w:pStyle w:val="6"/>
              <w:spacing w:before="48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食品安全检测技术</w:t>
            </w:r>
          </w:p>
          <w:p w14:paraId="1C469458">
            <w:pPr>
              <w:pStyle w:val="6"/>
              <w:spacing w:before="49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食品质量控制工程</w:t>
            </w:r>
          </w:p>
          <w:p w14:paraId="6EC3262C">
            <w:pPr>
              <w:pStyle w:val="6"/>
              <w:spacing w:before="48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食品标准与法规</w:t>
            </w:r>
          </w:p>
          <w:p w14:paraId="49511A2F">
            <w:pPr>
              <w:spacing w:before="91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2EE2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7A006413">
            <w:pPr>
              <w:spacing w:line="264" w:lineRule="auto"/>
              <w:rPr>
                <w:rFonts w:ascii="Arial"/>
                <w:sz w:val="21"/>
              </w:rPr>
            </w:pPr>
          </w:p>
          <w:p w14:paraId="4D1207F9">
            <w:pPr>
              <w:spacing w:line="264" w:lineRule="auto"/>
              <w:rPr>
                <w:rFonts w:ascii="Arial"/>
                <w:sz w:val="21"/>
              </w:rPr>
            </w:pPr>
          </w:p>
          <w:p w14:paraId="5B5AF52D">
            <w:pPr>
              <w:spacing w:line="265" w:lineRule="auto"/>
              <w:rPr>
                <w:rFonts w:ascii="Arial"/>
                <w:sz w:val="21"/>
              </w:rPr>
            </w:pPr>
          </w:p>
          <w:p w14:paraId="5237E586">
            <w:pPr>
              <w:spacing w:before="63" w:line="233" w:lineRule="auto"/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2"/>
                <w:szCs w:val="22"/>
              </w:rPr>
              <w:t>16</w:t>
            </w:r>
          </w:p>
        </w:tc>
        <w:tc>
          <w:tcPr>
            <w:tcW w:w="3385" w:type="dxa"/>
            <w:vAlign w:val="top"/>
          </w:tcPr>
          <w:p w14:paraId="7C50C6A9">
            <w:pPr>
              <w:spacing w:line="351" w:lineRule="auto"/>
              <w:rPr>
                <w:rFonts w:ascii="Arial"/>
                <w:sz w:val="21"/>
              </w:rPr>
            </w:pPr>
          </w:p>
          <w:p w14:paraId="2F27C0E0">
            <w:pPr>
              <w:spacing w:line="352" w:lineRule="auto"/>
              <w:rPr>
                <w:rFonts w:ascii="Arial"/>
                <w:sz w:val="21"/>
              </w:rPr>
            </w:pPr>
          </w:p>
          <w:p w14:paraId="2E5B0B9F">
            <w:pPr>
              <w:spacing w:before="91" w:line="219" w:lineRule="auto"/>
              <w:ind w:left="11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数字营销</w:t>
            </w:r>
          </w:p>
        </w:tc>
        <w:tc>
          <w:tcPr>
            <w:tcW w:w="4066" w:type="dxa"/>
            <w:vAlign w:val="top"/>
          </w:tcPr>
          <w:p w14:paraId="62D79BD7">
            <w:pPr>
              <w:pStyle w:val="6"/>
              <w:spacing w:before="47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直播营销与数字化转化</w:t>
            </w:r>
          </w:p>
          <w:p w14:paraId="06FF2CB9">
            <w:pPr>
              <w:pStyle w:val="6"/>
              <w:spacing w:before="49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短视频制作与运营</w:t>
            </w:r>
          </w:p>
          <w:p w14:paraId="563D5AC8">
            <w:pPr>
              <w:pStyle w:val="6"/>
              <w:spacing w:before="48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品牌数字化推广应用</w:t>
            </w:r>
          </w:p>
          <w:p w14:paraId="54E34F00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商务数据分析</w:t>
            </w:r>
          </w:p>
          <w:p w14:paraId="0E516048">
            <w:pPr>
              <w:pStyle w:val="6"/>
              <w:spacing w:before="51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影视创意与数字文化传播</w:t>
            </w:r>
          </w:p>
          <w:p w14:paraId="6D1DF980">
            <w:pPr>
              <w:spacing w:before="92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361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9" w:hRule="atLeast"/>
        </w:trPr>
        <w:tc>
          <w:tcPr>
            <w:tcW w:w="1077" w:type="dxa"/>
            <w:vAlign w:val="top"/>
          </w:tcPr>
          <w:p w14:paraId="71590EEC">
            <w:pPr>
              <w:spacing w:line="265" w:lineRule="auto"/>
              <w:rPr>
                <w:rFonts w:ascii="Arial"/>
                <w:sz w:val="21"/>
              </w:rPr>
            </w:pPr>
          </w:p>
          <w:p w14:paraId="55B0F522">
            <w:pPr>
              <w:spacing w:line="265" w:lineRule="auto"/>
              <w:rPr>
                <w:rFonts w:ascii="Arial"/>
                <w:sz w:val="21"/>
              </w:rPr>
            </w:pPr>
          </w:p>
          <w:p w14:paraId="2F074822">
            <w:pPr>
              <w:spacing w:line="266" w:lineRule="auto"/>
              <w:rPr>
                <w:rFonts w:ascii="Arial"/>
                <w:sz w:val="21"/>
              </w:rPr>
            </w:pPr>
          </w:p>
          <w:p w14:paraId="568F569C">
            <w:pPr>
              <w:spacing w:before="63" w:line="233" w:lineRule="auto"/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2"/>
                <w:szCs w:val="22"/>
              </w:rPr>
              <w:t>17</w:t>
            </w:r>
          </w:p>
        </w:tc>
        <w:tc>
          <w:tcPr>
            <w:tcW w:w="3385" w:type="dxa"/>
            <w:vAlign w:val="top"/>
          </w:tcPr>
          <w:p w14:paraId="4FEC0DF5">
            <w:pPr>
              <w:spacing w:line="353" w:lineRule="auto"/>
              <w:rPr>
                <w:rFonts w:ascii="Arial"/>
                <w:sz w:val="21"/>
              </w:rPr>
            </w:pPr>
          </w:p>
          <w:p w14:paraId="7382484E">
            <w:pPr>
              <w:spacing w:line="353" w:lineRule="auto"/>
              <w:rPr>
                <w:rFonts w:ascii="Arial"/>
                <w:sz w:val="21"/>
              </w:rPr>
            </w:pPr>
          </w:p>
          <w:p w14:paraId="3CF854FB">
            <w:pPr>
              <w:spacing w:before="91" w:line="219" w:lineRule="auto"/>
              <w:ind w:left="115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文化旅游</w:t>
            </w:r>
          </w:p>
        </w:tc>
        <w:tc>
          <w:tcPr>
            <w:tcW w:w="4066" w:type="dxa"/>
            <w:vAlign w:val="top"/>
          </w:tcPr>
          <w:p w14:paraId="60901A81">
            <w:pPr>
              <w:pStyle w:val="6"/>
              <w:spacing w:before="50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文旅融合创新与实践</w:t>
            </w:r>
          </w:p>
          <w:p w14:paraId="113FE60E">
            <w:pPr>
              <w:pStyle w:val="6"/>
              <w:spacing w:before="48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旅游管理与服务教育</w:t>
            </w:r>
          </w:p>
          <w:p w14:paraId="7EFEB531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民宿康养与数字化运营管理</w:t>
            </w:r>
          </w:p>
          <w:p w14:paraId="49FDBB16">
            <w:pPr>
              <w:pStyle w:val="6"/>
              <w:spacing w:before="49" w:line="221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文化创意旅游</w:t>
            </w:r>
          </w:p>
          <w:p w14:paraId="447395C4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文化产品创意设计</w:t>
            </w:r>
          </w:p>
          <w:p w14:paraId="0ED5A6DA">
            <w:pPr>
              <w:spacing w:before="92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1DB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1533FAEA">
            <w:pPr>
              <w:spacing w:line="264" w:lineRule="auto"/>
              <w:rPr>
                <w:rFonts w:ascii="Arial"/>
                <w:sz w:val="21"/>
              </w:rPr>
            </w:pPr>
          </w:p>
          <w:p w14:paraId="03A45424">
            <w:pPr>
              <w:spacing w:line="265" w:lineRule="auto"/>
              <w:rPr>
                <w:rFonts w:ascii="Arial"/>
                <w:sz w:val="21"/>
              </w:rPr>
            </w:pPr>
          </w:p>
          <w:p w14:paraId="770A90E0">
            <w:pPr>
              <w:spacing w:line="265" w:lineRule="auto"/>
              <w:rPr>
                <w:rFonts w:ascii="Arial"/>
                <w:sz w:val="21"/>
              </w:rPr>
            </w:pPr>
          </w:p>
          <w:p w14:paraId="2032F5FC">
            <w:pPr>
              <w:spacing w:before="63" w:line="233" w:lineRule="auto"/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2"/>
                <w:szCs w:val="22"/>
              </w:rPr>
              <w:t>18</w:t>
            </w:r>
          </w:p>
        </w:tc>
        <w:tc>
          <w:tcPr>
            <w:tcW w:w="3385" w:type="dxa"/>
            <w:vAlign w:val="top"/>
          </w:tcPr>
          <w:p w14:paraId="7B9CDF03">
            <w:pPr>
              <w:spacing w:line="352" w:lineRule="auto"/>
              <w:rPr>
                <w:rFonts w:ascii="Arial"/>
                <w:sz w:val="21"/>
              </w:rPr>
            </w:pPr>
          </w:p>
          <w:p w14:paraId="3F1BB2B7">
            <w:pPr>
              <w:spacing w:line="353" w:lineRule="auto"/>
              <w:rPr>
                <w:rFonts w:ascii="Arial"/>
                <w:sz w:val="21"/>
              </w:rPr>
            </w:pPr>
          </w:p>
          <w:p w14:paraId="4A624D28">
            <w:pPr>
              <w:spacing w:before="91" w:line="219" w:lineRule="auto"/>
              <w:ind w:left="115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商务贸易</w:t>
            </w:r>
          </w:p>
        </w:tc>
        <w:tc>
          <w:tcPr>
            <w:tcW w:w="4066" w:type="dxa"/>
            <w:vAlign w:val="top"/>
          </w:tcPr>
          <w:p w14:paraId="6727B557">
            <w:pPr>
              <w:pStyle w:val="6"/>
              <w:spacing w:before="48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商业数据分析与决策</w:t>
            </w:r>
          </w:p>
          <w:p w14:paraId="2A018E34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数字贸易与商务</w:t>
            </w:r>
          </w:p>
          <w:p w14:paraId="62948FAE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智能财务管理</w:t>
            </w:r>
          </w:p>
          <w:p w14:paraId="1B4A8622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涉外知识产权</w:t>
            </w:r>
          </w:p>
          <w:p w14:paraId="14E4DFFE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跨国品牌运营与管理</w:t>
            </w:r>
          </w:p>
          <w:p w14:paraId="5BFEE4C5">
            <w:pPr>
              <w:spacing w:before="92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EC5C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77" w:type="dxa"/>
            <w:vAlign w:val="top"/>
          </w:tcPr>
          <w:p w14:paraId="5BF93845">
            <w:pPr>
              <w:spacing w:line="264" w:lineRule="auto"/>
              <w:rPr>
                <w:rFonts w:ascii="Arial"/>
                <w:sz w:val="21"/>
              </w:rPr>
            </w:pPr>
          </w:p>
          <w:p w14:paraId="7552F0FE">
            <w:pPr>
              <w:spacing w:line="265" w:lineRule="auto"/>
              <w:rPr>
                <w:rFonts w:ascii="Arial"/>
                <w:sz w:val="21"/>
              </w:rPr>
            </w:pPr>
          </w:p>
          <w:p w14:paraId="753774E6">
            <w:pPr>
              <w:spacing w:line="265" w:lineRule="auto"/>
              <w:rPr>
                <w:rFonts w:ascii="Arial"/>
                <w:sz w:val="21"/>
              </w:rPr>
            </w:pPr>
          </w:p>
          <w:p w14:paraId="3B341EA9">
            <w:pPr>
              <w:spacing w:before="63" w:line="233" w:lineRule="auto"/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2"/>
                <w:szCs w:val="22"/>
              </w:rPr>
              <w:t>19</w:t>
            </w:r>
          </w:p>
        </w:tc>
        <w:tc>
          <w:tcPr>
            <w:tcW w:w="3385" w:type="dxa"/>
            <w:vAlign w:val="top"/>
          </w:tcPr>
          <w:p w14:paraId="534008F4">
            <w:pPr>
              <w:spacing w:line="353" w:lineRule="auto"/>
              <w:rPr>
                <w:rFonts w:ascii="Arial"/>
                <w:sz w:val="21"/>
              </w:rPr>
            </w:pPr>
          </w:p>
          <w:p w14:paraId="08CB3485">
            <w:pPr>
              <w:spacing w:line="353" w:lineRule="auto"/>
              <w:rPr>
                <w:rFonts w:ascii="Arial"/>
                <w:sz w:val="21"/>
              </w:rPr>
            </w:pPr>
          </w:p>
          <w:p w14:paraId="6434CC1B">
            <w:pPr>
              <w:spacing w:before="91" w:line="217" w:lineRule="auto"/>
              <w:ind w:left="43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智慧交通与智慧物流</w:t>
            </w:r>
          </w:p>
        </w:tc>
        <w:tc>
          <w:tcPr>
            <w:tcW w:w="4066" w:type="dxa"/>
            <w:vAlign w:val="top"/>
          </w:tcPr>
          <w:p w14:paraId="0D68AD18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智慧航海与智能船舶</w:t>
            </w:r>
          </w:p>
          <w:p w14:paraId="62B9F360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智慧交通与大数据</w:t>
            </w:r>
          </w:p>
          <w:p w14:paraId="5F0FF269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智慧城市与交通</w:t>
            </w:r>
          </w:p>
          <w:p w14:paraId="4303A78D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低空物流运营与管理</w:t>
            </w:r>
          </w:p>
          <w:p w14:paraId="4052D71E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数智化供应链管理</w:t>
            </w:r>
          </w:p>
          <w:p w14:paraId="0A1885A6">
            <w:pPr>
              <w:spacing w:before="93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BD7A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077" w:type="dxa"/>
            <w:vAlign w:val="top"/>
          </w:tcPr>
          <w:p w14:paraId="2D728E4C">
            <w:pPr>
              <w:spacing w:line="265" w:lineRule="auto"/>
              <w:rPr>
                <w:rFonts w:ascii="Arial"/>
                <w:sz w:val="21"/>
              </w:rPr>
            </w:pPr>
          </w:p>
          <w:p w14:paraId="7CAB519F">
            <w:pPr>
              <w:spacing w:line="265" w:lineRule="auto"/>
              <w:rPr>
                <w:rFonts w:ascii="Arial"/>
                <w:sz w:val="21"/>
              </w:rPr>
            </w:pPr>
          </w:p>
          <w:p w14:paraId="4C720FCA">
            <w:pPr>
              <w:spacing w:line="266" w:lineRule="auto"/>
              <w:rPr>
                <w:rFonts w:ascii="Arial"/>
                <w:sz w:val="21"/>
              </w:rPr>
            </w:pPr>
          </w:p>
          <w:p w14:paraId="41CBD0BC">
            <w:pPr>
              <w:spacing w:before="63" w:line="233" w:lineRule="auto"/>
              <w:ind w:left="429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20</w:t>
            </w:r>
          </w:p>
        </w:tc>
        <w:tc>
          <w:tcPr>
            <w:tcW w:w="3385" w:type="dxa"/>
            <w:vAlign w:val="top"/>
          </w:tcPr>
          <w:p w14:paraId="7518BCC0">
            <w:pPr>
              <w:spacing w:line="353" w:lineRule="auto"/>
              <w:rPr>
                <w:rFonts w:ascii="Arial"/>
                <w:sz w:val="21"/>
              </w:rPr>
            </w:pPr>
          </w:p>
          <w:p w14:paraId="68CF271C">
            <w:pPr>
              <w:spacing w:line="354" w:lineRule="auto"/>
              <w:rPr>
                <w:rFonts w:ascii="Arial"/>
                <w:sz w:val="21"/>
              </w:rPr>
            </w:pPr>
          </w:p>
          <w:p w14:paraId="3E48E6AC">
            <w:pPr>
              <w:spacing w:before="91" w:line="219" w:lineRule="auto"/>
              <w:ind w:left="11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数据要素</w:t>
            </w:r>
          </w:p>
        </w:tc>
        <w:tc>
          <w:tcPr>
            <w:tcW w:w="4066" w:type="dxa"/>
            <w:vAlign w:val="top"/>
          </w:tcPr>
          <w:p w14:paraId="471C0A0D">
            <w:pPr>
              <w:pStyle w:val="6"/>
              <w:spacing w:before="50" w:line="219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数字政府治理</w:t>
            </w:r>
          </w:p>
          <w:p w14:paraId="22BECCF2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4"/>
              </w:rPr>
              <w:t>l</w:t>
            </w:r>
            <w:r>
              <w:rPr>
                <w:rFonts w:ascii="宋体" w:hAnsi="宋体" w:eastAsia="宋体" w:cs="宋体"/>
                <w:spacing w:val="-4"/>
              </w:rPr>
              <w:t>数据安全</w:t>
            </w:r>
          </w:p>
          <w:p w14:paraId="36748DB6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数字与智能金融</w:t>
            </w:r>
          </w:p>
          <w:p w14:paraId="204C3623">
            <w:pPr>
              <w:pStyle w:val="6"/>
              <w:spacing w:before="50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l</w:t>
            </w:r>
            <w:r>
              <w:rPr>
                <w:rFonts w:ascii="宋体" w:hAnsi="宋体" w:eastAsia="宋体" w:cs="宋体"/>
                <w:spacing w:val="-2"/>
              </w:rPr>
              <w:t>数据中心智慧运维</w:t>
            </w:r>
          </w:p>
          <w:p w14:paraId="58C96DCF">
            <w:pPr>
              <w:pStyle w:val="6"/>
              <w:spacing w:before="49" w:line="220" w:lineRule="auto"/>
              <w:ind w:left="124"/>
              <w:rPr>
                <w:rFonts w:ascii="宋体" w:hAnsi="宋体" w:eastAsia="宋体" w:cs="宋体"/>
              </w:rPr>
            </w:pPr>
            <w:r>
              <w:rPr>
                <w:spacing w:val="-3"/>
              </w:rPr>
              <w:t>l</w:t>
            </w:r>
            <w:r>
              <w:rPr>
                <w:rFonts w:ascii="宋体" w:hAnsi="宋体" w:eastAsia="宋体" w:cs="宋体"/>
                <w:spacing w:val="-3"/>
              </w:rPr>
              <w:t>国际数据治理</w:t>
            </w:r>
          </w:p>
          <w:p w14:paraId="75099486">
            <w:pPr>
              <w:spacing w:before="92" w:line="146" w:lineRule="exact"/>
              <w:ind w:firstLine="124"/>
            </w:pPr>
            <w:r>
              <w:rPr>
                <w:position w:val="-2"/>
              </w:rPr>
              <w:drawing>
                <wp:inline distT="0" distB="0" distL="0" distR="0">
                  <wp:extent cx="303530" cy="92710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9" cy="9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26D39B">
      <w:pPr>
        <w:rPr>
          <w:rFonts w:ascii="Arial"/>
          <w:sz w:val="21"/>
        </w:rPr>
      </w:pPr>
    </w:p>
    <w:sectPr>
      <w:footerReference r:id="rId7" w:type="default"/>
      <w:pgSz w:w="11907" w:h="16839"/>
      <w:pgMar w:top="1431" w:right="1684" w:bottom="1345" w:left="1687" w:header="0" w:footer="98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25EFD">
    <w:pPr>
      <w:spacing w:line="233" w:lineRule="auto"/>
      <w:ind w:left="406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—</w:t>
    </w:r>
    <w:r>
      <w:rPr>
        <w:rFonts w:ascii="宋体" w:hAnsi="宋体" w:eastAsia="宋体" w:cs="宋体"/>
        <w:spacing w:val="17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5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A80E4">
    <w:pPr>
      <w:spacing w:line="233" w:lineRule="auto"/>
      <w:ind w:left="406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6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7E191">
    <w:pPr>
      <w:pStyle w:val="2"/>
      <w:spacing w:line="233" w:lineRule="auto"/>
      <w:ind w:left="4065"/>
    </w:pPr>
    <w:r>
      <w:rPr>
        <w:spacing w:val="-9"/>
      </w:rPr>
      <w:t>—</w:t>
    </w:r>
    <w:r>
      <w:rPr>
        <w:spacing w:val="17"/>
      </w:rPr>
      <w:t xml:space="preserve"> </w:t>
    </w:r>
    <w:r>
      <w:rPr>
        <w:spacing w:val="-9"/>
      </w:rPr>
      <w:t>7</w:t>
    </w:r>
    <w:r>
      <w:rPr>
        <w:spacing w:val="9"/>
      </w:rPr>
      <w:t xml:space="preserve"> </w:t>
    </w:r>
    <w:r>
      <w:rPr>
        <w:spacing w:val="-9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CF434F"/>
    <w:rsid w:val="0D3D5EE8"/>
    <w:rsid w:val="0DC108C7"/>
    <w:rsid w:val="15A13471"/>
    <w:rsid w:val="21E32762"/>
    <w:rsid w:val="27DF5779"/>
    <w:rsid w:val="2A0D0CC4"/>
    <w:rsid w:val="34256C0A"/>
    <w:rsid w:val="3F960DE7"/>
    <w:rsid w:val="439416B6"/>
    <w:rsid w:val="44AE67A8"/>
    <w:rsid w:val="45F82885"/>
    <w:rsid w:val="4E791BD4"/>
    <w:rsid w:val="61453B98"/>
    <w:rsid w:val="61F5736C"/>
    <w:rsid w:val="663974CF"/>
    <w:rsid w:val="6ED21BDF"/>
    <w:rsid w:val="74FB2A94"/>
    <w:rsid w:val="77381D7D"/>
    <w:rsid w:val="7E7000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Wingdings" w:hAnsi="Wingdings" w:eastAsia="Wingdings" w:cs="Wingdings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1e49c2f8-77a2-425b-93b6-8104c8d44293</errorID>
      <errorWord>智化供应链</errorWord>
      <group>L1_Political</group>
      <groupName>政治性问题</groupName>
      <ability>L2_Keyword</ability>
      <abilityName>固定表述</abilityName>
      <candidateList>
        <item>智慧供应链</item>
      </candidateList>
      <explain>词汇“智慧供应链”在特定场景下为固定表述形式，请确认此处的“智化供应链”是否存在不当。</explain>
      <paraID>4052D71E</paraID>
      <start>2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a065359-5ff1-4368-87ae-d1073473df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1081</Words>
  <Characters>1125</Characters>
  <TotalTime>0</TotalTime>
  <ScaleCrop>false</ScaleCrop>
  <LinksUpToDate>false</LinksUpToDate>
  <CharactersWithSpaces>1129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2026-01-08T10:18:00Z</dcterms:created>
  <dc:creator>xss</dc:creator>
  <cp:lastModifiedBy>Caser刘</cp:lastModifiedBy>
  <dcterms:modified xsi:type="dcterms:W3CDTF">2026-09-22T00:36:00Z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2026-09-21T10:34:27Z</vt:filetime>
  </property>
  <property fmtid="{D5CDD505-2E9C-101B-9397-08002B2CF9AE}" pid="4" name="KSOTemplateDocerSaveRecord">
    <vt:lpwstr>eyJoZGlkIjoiNThiOWZkNzI5NDQ1YjM1MTMzNWFlOTc1MTA0NmJkYjUiLCJ1c2VySWQiOiI0NzQ1ODUzNjIifQ==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DF724B991C4F499EB4DBE5EA3B237B91_12</vt:lpwstr>
  </property>
</Properties>
</file>