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F4284D">
      <w:pPr>
        <w:widowControl/>
        <w:shd w:val="clear" w:color="auto" w:fill="FFFFFF"/>
        <w:spacing w:before="100" w:beforeAutospacing="1" w:after="240" w:line="510" w:lineRule="atLeast"/>
        <w:jc w:val="center"/>
        <w:outlineLvl w:val="0"/>
        <w:rPr>
          <w:rFonts w:ascii="方正小标宋简体" w:hAnsi="微软雅黑" w:eastAsia="方正小标宋简体" w:cs="微软雅黑"/>
          <w:color w:val="0F1115"/>
          <w:kern w:val="36"/>
          <w:sz w:val="36"/>
          <w:szCs w:val="36"/>
        </w:rPr>
      </w:pPr>
      <w:r>
        <w:rPr>
          <w:rFonts w:ascii="方正小标宋简体" w:hAnsi="微软雅黑" w:eastAsia="方正小标宋简体" w:cs="微软雅黑"/>
          <w:color w:val="0F1115"/>
          <w:kern w:val="36"/>
          <w:sz w:val="36"/>
          <w:szCs w:val="36"/>
        </w:rPr>
        <w:t>衢州学院智能装备与数字孪生技术微专业招生简章</w:t>
      </w:r>
    </w:p>
    <w:p w14:paraId="57CF4985">
      <w:pPr>
        <w:widowControl/>
        <w:shd w:val="clear" w:color="auto" w:fill="FFFFFF"/>
        <w:spacing w:line="400" w:lineRule="exact"/>
        <w:ind w:firstLine="600" w:firstLineChars="200"/>
        <w:jc w:val="left"/>
        <w:outlineLvl w:val="1"/>
        <w:rPr>
          <w:rFonts w:ascii="黑体" w:hAnsi="黑体" w:eastAsia="黑体" w:cs="微软雅黑"/>
          <w:color w:val="0F1115"/>
          <w:kern w:val="0"/>
          <w:sz w:val="30"/>
          <w:szCs w:val="30"/>
        </w:rPr>
      </w:pPr>
      <w:r>
        <w:rPr>
          <w:rFonts w:ascii="黑体" w:hAnsi="黑体" w:eastAsia="黑体" w:cs="微软雅黑"/>
          <w:color w:val="0F1115"/>
          <w:kern w:val="0"/>
          <w:sz w:val="30"/>
          <w:szCs w:val="30"/>
        </w:rPr>
        <w:t>一、基本信息</w:t>
      </w:r>
    </w:p>
    <w:p w14:paraId="36549B67">
      <w:pPr>
        <w:ind w:firstLine="562" w:firstLineChars="200"/>
      </w:pPr>
      <w:r>
        <w:rPr>
          <w:rFonts w:hint="eastAsia" w:ascii="仿宋_GB2312" w:hAnsi="仿宋_GB2312" w:eastAsia="仿宋_GB2312" w:cs="仿宋_GB2312"/>
          <w:b/>
          <w:bCs/>
          <w:color w:val="0F1115"/>
          <w:kern w:val="0"/>
          <w:sz w:val="28"/>
          <w:szCs w:val="28"/>
        </w:rPr>
        <w:t>1.</w:t>
      </w:r>
      <w:r>
        <w:rPr>
          <w:rFonts w:ascii="仿宋_GB2312" w:hAnsi="仿宋_GB2312" w:eastAsia="仿宋_GB2312" w:cs="仿宋_GB2312"/>
          <w:b/>
          <w:bCs/>
          <w:color w:val="0F1115"/>
          <w:kern w:val="0"/>
          <w:sz w:val="28"/>
          <w:szCs w:val="28"/>
        </w:rPr>
        <w:t>微专业名称：</w:t>
      </w:r>
      <w:r>
        <w:rPr>
          <w:rFonts w:ascii="仿宋_GB2312" w:hAnsi="仿宋_GB2312" w:eastAsia="仿宋_GB2312" w:cs="仿宋_GB2312"/>
          <w:color w:val="0F1115"/>
          <w:kern w:val="0"/>
          <w:sz w:val="28"/>
          <w:szCs w:val="28"/>
        </w:rPr>
        <w:t>智能装备与数字孪生技术</w:t>
      </w:r>
    </w:p>
    <w:p w14:paraId="07B37749">
      <w:pPr>
        <w:ind w:firstLine="562" w:firstLineChars="200"/>
      </w:pPr>
      <w:r>
        <w:rPr>
          <w:rFonts w:hint="eastAsia" w:ascii="仿宋_GB2312" w:hAnsi="仿宋_GB2312" w:eastAsia="仿宋_GB2312" w:cs="仿宋_GB2312"/>
          <w:b/>
          <w:bCs/>
          <w:color w:val="0F1115"/>
          <w:kern w:val="0"/>
          <w:sz w:val="28"/>
          <w:szCs w:val="28"/>
        </w:rPr>
        <w:t>2.</w:t>
      </w:r>
      <w:r>
        <w:rPr>
          <w:rFonts w:ascii="仿宋_GB2312" w:hAnsi="仿宋_GB2312" w:eastAsia="仿宋_GB2312" w:cs="仿宋_GB2312"/>
          <w:b/>
          <w:bCs/>
          <w:color w:val="0F1115"/>
          <w:kern w:val="0"/>
          <w:sz w:val="28"/>
          <w:szCs w:val="28"/>
        </w:rPr>
        <w:t>依托专业所在学院：</w:t>
      </w:r>
      <w:r>
        <w:rPr>
          <w:rFonts w:ascii="仿宋_GB2312" w:hAnsi="仿宋_GB2312" w:eastAsia="仿宋_GB2312" w:cs="仿宋_GB2312"/>
          <w:color w:val="0F1115"/>
          <w:kern w:val="0"/>
          <w:sz w:val="28"/>
          <w:szCs w:val="28"/>
        </w:rPr>
        <w:t>机械工程学院</w:t>
      </w:r>
    </w:p>
    <w:p w14:paraId="683A4FA7">
      <w:pPr>
        <w:ind w:firstLine="562" w:firstLineChars="200"/>
        <w:rPr>
          <w:rFonts w:ascii="仿宋_GB2312" w:hAnsi="仿宋_GB2312" w:eastAsia="仿宋_GB2312" w:cs="仿宋_GB2312"/>
          <w:color w:val="0F1115"/>
          <w:kern w:val="0"/>
          <w:sz w:val="28"/>
          <w:szCs w:val="28"/>
        </w:rPr>
      </w:pPr>
      <w:r>
        <w:rPr>
          <w:rFonts w:hint="eastAsia" w:ascii="仿宋_GB2312" w:hAnsi="仿宋_GB2312" w:eastAsia="仿宋_GB2312" w:cs="仿宋_GB2312"/>
          <w:b/>
          <w:bCs/>
          <w:color w:val="0F1115"/>
          <w:kern w:val="0"/>
          <w:sz w:val="28"/>
          <w:szCs w:val="28"/>
        </w:rPr>
        <w:t>3.</w:t>
      </w:r>
      <w:r>
        <w:rPr>
          <w:rFonts w:ascii="仿宋_GB2312" w:hAnsi="仿宋_GB2312" w:eastAsia="仿宋_GB2312" w:cs="仿宋_GB2312"/>
          <w:b/>
          <w:bCs/>
          <w:color w:val="0F1115"/>
          <w:kern w:val="0"/>
          <w:sz w:val="28"/>
          <w:szCs w:val="28"/>
        </w:rPr>
        <w:t>合作单位：</w:t>
      </w:r>
      <w:r>
        <w:rPr>
          <w:rFonts w:ascii="仿宋_GB2312" w:hAnsi="仿宋_GB2312" w:eastAsia="仿宋_GB2312" w:cs="仿宋_GB2312"/>
          <w:color w:val="0F1115"/>
          <w:kern w:val="0"/>
          <w:sz w:val="28"/>
          <w:szCs w:val="28"/>
        </w:rPr>
        <w:t>电气与信息工程学院</w:t>
      </w:r>
    </w:p>
    <w:p w14:paraId="24B085AD">
      <w:pPr>
        <w:ind w:firstLine="2240" w:firstLineChars="800"/>
        <w:rPr>
          <w:rFonts w:ascii="仿宋_GB2312" w:hAnsi="仿宋_GB2312" w:eastAsia="仿宋_GB2312" w:cs="仿宋_GB2312"/>
          <w:sz w:val="28"/>
          <w:szCs w:val="28"/>
        </w:rPr>
      </w:pPr>
      <w:r>
        <w:rPr>
          <w:rFonts w:hint="eastAsia" w:ascii="仿宋_GB2312" w:hAnsi="仿宋_GB2312" w:eastAsia="仿宋_GB2312" w:cs="仿宋_GB2312"/>
          <w:sz w:val="28"/>
          <w:szCs w:val="28"/>
        </w:rPr>
        <w:t>中国机械工程学会</w:t>
      </w:r>
      <w:r>
        <w:rPr>
          <w:rFonts w:ascii="仿宋_GB2312" w:hAnsi="仿宋_GB2312" w:eastAsia="仿宋_GB2312" w:cs="仿宋_GB2312"/>
          <w:sz w:val="28"/>
          <w:szCs w:val="28"/>
        </w:rPr>
        <w:t>衢州科技创新服务站</w:t>
      </w:r>
    </w:p>
    <w:p w14:paraId="32B32B86">
      <w:pPr>
        <w:ind w:firstLine="562" w:firstLineChars="200"/>
        <w:rPr>
          <w:rFonts w:ascii="仿宋_GB2312" w:hAnsi="仿宋_GB2312" w:eastAsia="仿宋_GB2312" w:cs="仿宋_GB2312"/>
          <w:color w:val="0F1115"/>
          <w:kern w:val="0"/>
          <w:sz w:val="28"/>
          <w:szCs w:val="28"/>
        </w:rPr>
      </w:pPr>
      <w:r>
        <w:rPr>
          <w:rFonts w:hint="eastAsia" w:ascii="仿宋_GB2312" w:hAnsi="仿宋_GB2312" w:eastAsia="仿宋_GB2312" w:cs="仿宋_GB2312"/>
          <w:b/>
          <w:bCs/>
          <w:color w:val="0F1115"/>
          <w:kern w:val="0"/>
          <w:sz w:val="28"/>
          <w:szCs w:val="28"/>
        </w:rPr>
        <w:t>4.</w:t>
      </w:r>
      <w:r>
        <w:rPr>
          <w:rFonts w:ascii="仿宋_GB2312" w:hAnsi="仿宋_GB2312" w:eastAsia="仿宋_GB2312" w:cs="仿宋_GB2312"/>
          <w:b/>
          <w:bCs/>
          <w:color w:val="0F1115"/>
          <w:kern w:val="0"/>
          <w:sz w:val="28"/>
          <w:szCs w:val="28"/>
        </w:rPr>
        <w:t>微专业负责人：</w:t>
      </w:r>
      <w:r>
        <w:rPr>
          <w:rFonts w:ascii="仿宋_GB2312" w:hAnsi="仿宋_GB2312" w:eastAsia="仿宋_GB2312" w:cs="仿宋_GB2312"/>
          <w:color w:val="0F1115"/>
          <w:kern w:val="0"/>
          <w:sz w:val="28"/>
          <w:szCs w:val="28"/>
        </w:rPr>
        <w:t>周建强</w:t>
      </w:r>
    </w:p>
    <w:p w14:paraId="4A23E4DA">
      <w:pPr>
        <w:widowControl/>
        <w:shd w:val="clear" w:color="auto" w:fill="FFFFFF"/>
        <w:spacing w:line="560" w:lineRule="exact"/>
        <w:ind w:firstLine="600" w:firstLineChars="200"/>
        <w:jc w:val="left"/>
        <w:outlineLvl w:val="1"/>
        <w:rPr>
          <w:rFonts w:ascii="黑体" w:hAnsi="黑体" w:eastAsia="黑体" w:cs="微软雅黑"/>
          <w:color w:val="0F1115"/>
          <w:kern w:val="0"/>
          <w:sz w:val="30"/>
          <w:szCs w:val="30"/>
        </w:rPr>
      </w:pPr>
      <w:r>
        <w:rPr>
          <w:rFonts w:ascii="黑体" w:hAnsi="黑体" w:eastAsia="黑体" w:cs="微软雅黑"/>
          <w:color w:val="0F1115"/>
          <w:kern w:val="0"/>
          <w:sz w:val="30"/>
          <w:szCs w:val="30"/>
        </w:rPr>
        <w:t>二、专业简介</w:t>
      </w:r>
    </w:p>
    <w:p w14:paraId="5519EE35">
      <w:pPr>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1.</w:t>
      </w:r>
      <w:r>
        <w:rPr>
          <w:rFonts w:ascii="仿宋_GB2312" w:hAnsi="仿宋_GB2312" w:eastAsia="仿宋_GB2312" w:cs="仿宋_GB2312"/>
          <w:b/>
          <w:bCs/>
          <w:sz w:val="28"/>
          <w:szCs w:val="28"/>
        </w:rPr>
        <w:t>定位与特色：</w:t>
      </w:r>
      <w:r>
        <w:rPr>
          <w:rFonts w:ascii="仿宋_GB2312" w:hAnsi="仿宋_GB2312" w:eastAsia="仿宋_GB2312" w:cs="仿宋_GB2312"/>
          <w:sz w:val="28"/>
          <w:szCs w:val="28"/>
        </w:rPr>
        <w:t>本微专业对接国家数字技术工程师人才需求，聚焦“智能设备+虚实融合+工业数字化”核心，依托AI、工业控制、数字孪生跨学科融合体系，构建“基础-控制-感知-虚拟-应用”闭环课程链，形成“硬件控制→数据采集→虚拟映射”完整技术逻辑。采用“跨院共建+虚实融合+实战导向”培养模式，通过线上线下混合教学，依托省部级科研平台与校企合作基地，引入企业真实项目，打造“课程实验+项目实训+综合训练”三级实践体系，实现“机械+电气+信息”技术深度交融，培养适配产业需求的复合型人才。</w:t>
      </w:r>
    </w:p>
    <w:p w14:paraId="54AE9393">
      <w:pPr>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2.</w:t>
      </w:r>
      <w:r>
        <w:rPr>
          <w:rFonts w:ascii="仿宋_GB2312" w:hAnsi="仿宋_GB2312" w:eastAsia="仿宋_GB2312" w:cs="仿宋_GB2312"/>
          <w:b/>
          <w:bCs/>
          <w:sz w:val="28"/>
          <w:szCs w:val="28"/>
        </w:rPr>
        <w:t>适合人群：</w:t>
      </w:r>
      <w:r>
        <w:rPr>
          <w:rFonts w:ascii="仿宋_GB2312" w:hAnsi="仿宋_GB2312" w:eastAsia="仿宋_GB2312" w:cs="仿宋_GB2312"/>
          <w:sz w:val="28"/>
          <w:szCs w:val="28"/>
        </w:rPr>
        <w:t>本微专业适合全校二、三年级学有余力的本科生（无前置课程要求），尤其适合有志于将智能装备与数字孪生技术应用于本专业领域、提升智能制造领域就业竞争力、服务区域产业升级的学生，对智能制造、虚拟仿真技术有浓厚兴趣者优先。</w:t>
      </w:r>
    </w:p>
    <w:p w14:paraId="529C3ED0">
      <w:pPr>
        <w:widowControl/>
        <w:shd w:val="clear" w:color="auto" w:fill="FFFFFF"/>
        <w:spacing w:line="560" w:lineRule="exact"/>
        <w:ind w:firstLine="600" w:firstLineChars="200"/>
        <w:jc w:val="left"/>
        <w:outlineLvl w:val="1"/>
        <w:rPr>
          <w:rFonts w:ascii="黑体" w:hAnsi="黑体" w:eastAsia="黑体" w:cs="微软雅黑"/>
          <w:color w:val="0F1115"/>
          <w:kern w:val="0"/>
          <w:sz w:val="30"/>
          <w:szCs w:val="30"/>
        </w:rPr>
      </w:pPr>
      <w:r>
        <w:rPr>
          <w:rFonts w:ascii="黑体" w:hAnsi="黑体" w:eastAsia="黑体" w:cs="微软雅黑"/>
          <w:color w:val="0F1115"/>
          <w:kern w:val="0"/>
          <w:sz w:val="30"/>
          <w:szCs w:val="30"/>
        </w:rPr>
        <w:t>三、培养目标</w:t>
      </w:r>
    </w:p>
    <w:p w14:paraId="1EA204ED">
      <w:pPr>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1.</w:t>
      </w:r>
      <w:r>
        <w:rPr>
          <w:rFonts w:ascii="仿宋_GB2312" w:hAnsi="仿宋_GB2312" w:eastAsia="仿宋_GB2312" w:cs="仿宋_GB2312"/>
          <w:b/>
          <w:bCs/>
          <w:sz w:val="28"/>
          <w:szCs w:val="28"/>
        </w:rPr>
        <w:t>能力培养：</w:t>
      </w:r>
      <w:r>
        <w:rPr>
          <w:rFonts w:ascii="仿宋_GB2312" w:hAnsi="仿宋_GB2312" w:eastAsia="仿宋_GB2312" w:cs="仿宋_GB2312"/>
          <w:sz w:val="28"/>
          <w:szCs w:val="28"/>
        </w:rPr>
        <w:t>掌握智能装备设计原理、PLC控制编程、传感器与机器视觉核心技术，具备数字孪生建模与虚拟调试实战能力；能针对智能制造场景完成数据采集、模型构建、仿真优化及系统部署全流程工作；具备跨学科团队协作与创新实践能力，可在“智能装备+数字孪生”复合项目中高效协同推进任务。</w:t>
      </w:r>
    </w:p>
    <w:p w14:paraId="740DFC58">
      <w:pPr>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color w:val="FF0000"/>
          <w:sz w:val="28"/>
          <w:szCs w:val="28"/>
        </w:rPr>
        <w:t>2.</w:t>
      </w:r>
      <w:r>
        <w:rPr>
          <w:rFonts w:ascii="仿宋_GB2312" w:hAnsi="仿宋_GB2312" w:eastAsia="仿宋_GB2312" w:cs="仿宋_GB2312"/>
          <w:b/>
          <w:bCs/>
          <w:sz w:val="28"/>
          <w:szCs w:val="28"/>
        </w:rPr>
        <w:t>职业衔接：</w:t>
      </w:r>
      <w:r>
        <w:rPr>
          <w:rFonts w:ascii="仿宋_GB2312" w:hAnsi="仿宋_GB2312" w:eastAsia="仿宋_GB2312" w:cs="仿宋_GB2312"/>
          <w:sz w:val="28"/>
          <w:szCs w:val="28"/>
        </w:rPr>
        <w:t>毕业生可在长三角智能制造产业集群相关企业，胜任数字孪生工程师、智能装备研发工程师、工业数字化应用工程师等岗位，从事智能装备开发、虚拟仿真调试、工业数据处理等工作。</w:t>
      </w:r>
    </w:p>
    <w:p w14:paraId="0FAECE2A">
      <w:pPr>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color w:val="FF0000"/>
          <w:sz w:val="28"/>
          <w:szCs w:val="28"/>
        </w:rPr>
        <w:t>3.</w:t>
      </w:r>
      <w:r>
        <w:rPr>
          <w:rFonts w:ascii="仿宋_GB2312" w:hAnsi="仿宋_GB2312" w:eastAsia="仿宋_GB2312" w:cs="仿宋_GB2312"/>
          <w:b/>
          <w:bCs/>
          <w:sz w:val="28"/>
          <w:szCs w:val="28"/>
        </w:rPr>
        <w:t>升学助力：</w:t>
      </w:r>
      <w:r>
        <w:rPr>
          <w:rFonts w:ascii="仿宋_GB2312" w:hAnsi="仿宋_GB2312" w:eastAsia="仿宋_GB2312" w:cs="仿宋_GB2312"/>
          <w:sz w:val="28"/>
          <w:szCs w:val="28"/>
        </w:rPr>
        <w:t>本微专业理论与实践并重，为后续报考机械工程、控制科学与工程、智能制造等方向硕士研究生奠定扎实基础，提升科研与工程应用竞争力。</w:t>
      </w:r>
    </w:p>
    <w:p w14:paraId="0CA14F1F">
      <w:pPr>
        <w:widowControl/>
        <w:shd w:val="clear" w:color="auto" w:fill="FFFFFF"/>
        <w:spacing w:line="560" w:lineRule="exact"/>
        <w:ind w:firstLine="600" w:firstLineChars="200"/>
        <w:jc w:val="left"/>
        <w:outlineLvl w:val="1"/>
        <w:rPr>
          <w:rFonts w:ascii="黑体" w:hAnsi="黑体" w:eastAsia="黑体" w:cs="微软雅黑"/>
          <w:color w:val="0F1115"/>
          <w:kern w:val="0"/>
          <w:sz w:val="30"/>
          <w:szCs w:val="30"/>
        </w:rPr>
      </w:pPr>
      <w:r>
        <w:rPr>
          <w:rFonts w:ascii="黑体" w:hAnsi="黑体" w:eastAsia="黑体" w:cs="微软雅黑"/>
          <w:color w:val="0F1115"/>
          <w:kern w:val="0"/>
          <w:sz w:val="30"/>
          <w:szCs w:val="30"/>
        </w:rPr>
        <w:t>四、课程体系</w:t>
      </w:r>
    </w:p>
    <w:p w14:paraId="72B2839B">
      <w:pPr>
        <w:widowControl/>
        <w:shd w:val="clear" w:color="auto" w:fill="FFFFFF"/>
        <w:spacing w:line="560" w:lineRule="exact"/>
        <w:ind w:firstLine="562" w:firstLineChars="200"/>
        <w:jc w:val="left"/>
        <w:rPr>
          <w:rFonts w:ascii="仿宋_GB2312" w:hAnsi="仿宋_GB2312" w:eastAsia="仿宋_GB2312" w:cs="仿宋_GB2312"/>
          <w:b/>
          <w:bCs/>
          <w:color w:val="0F1115"/>
          <w:kern w:val="0"/>
          <w:sz w:val="28"/>
          <w:szCs w:val="28"/>
        </w:rPr>
      </w:pPr>
      <w:r>
        <w:rPr>
          <w:rFonts w:hint="eastAsia" w:ascii="仿宋_GB2312" w:hAnsi="仿宋_GB2312" w:eastAsia="仿宋_GB2312" w:cs="仿宋_GB2312"/>
          <w:b/>
          <w:bCs/>
          <w:color w:val="0F1115"/>
          <w:kern w:val="0"/>
          <w:sz w:val="28"/>
          <w:szCs w:val="28"/>
        </w:rPr>
        <w:t>1.</w:t>
      </w:r>
      <w:r>
        <w:rPr>
          <w:rFonts w:ascii="仿宋_GB2312" w:hAnsi="仿宋_GB2312" w:eastAsia="仿宋_GB2312" w:cs="仿宋_GB2312"/>
          <w:b/>
          <w:bCs/>
          <w:color w:val="0F1115"/>
          <w:kern w:val="0"/>
          <w:sz w:val="28"/>
          <w:szCs w:val="28"/>
        </w:rPr>
        <w:t>课程设置</w:t>
      </w:r>
    </w:p>
    <w:tbl>
      <w:tblPr>
        <w:tblStyle w:val="4"/>
        <w:tblW w:w="7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2375"/>
        <w:gridCol w:w="610"/>
        <w:gridCol w:w="969"/>
        <w:gridCol w:w="1159"/>
        <w:gridCol w:w="1337"/>
      </w:tblGrid>
      <w:tr w14:paraId="567CE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765" w:type="dxa"/>
            <w:tcBorders>
              <w:top w:val="single" w:color="auto" w:sz="4" w:space="0"/>
              <w:left w:val="single" w:color="auto" w:sz="4" w:space="0"/>
              <w:bottom w:val="single" w:color="auto" w:sz="4" w:space="0"/>
              <w:right w:val="single" w:color="auto" w:sz="4" w:space="0"/>
            </w:tcBorders>
            <w:vAlign w:val="center"/>
          </w:tcPr>
          <w:p w14:paraId="153ABD63">
            <w:pPr>
              <w:jc w:val="center"/>
              <w:rPr>
                <w:rFonts w:ascii="Times New Roman" w:hAnsi="Times New Roman" w:eastAsia="仿宋_GB2312"/>
                <w:kern w:val="0"/>
                <w:sz w:val="24"/>
                <w:szCs w:val="20"/>
              </w:rPr>
            </w:pPr>
            <w:r>
              <w:rPr>
                <w:rFonts w:hint="eastAsia" w:ascii="Times New Roman" w:hAnsi="Times New Roman" w:eastAsia="仿宋_GB2312"/>
                <w:kern w:val="0"/>
                <w:sz w:val="24"/>
                <w:szCs w:val="20"/>
              </w:rPr>
              <w:t>序号</w:t>
            </w:r>
          </w:p>
        </w:tc>
        <w:tc>
          <w:tcPr>
            <w:tcW w:w="2375" w:type="dxa"/>
            <w:tcBorders>
              <w:top w:val="single" w:color="auto" w:sz="4" w:space="0"/>
              <w:left w:val="single" w:color="auto" w:sz="4" w:space="0"/>
              <w:bottom w:val="single" w:color="auto" w:sz="4" w:space="0"/>
              <w:right w:val="single" w:color="auto" w:sz="4" w:space="0"/>
            </w:tcBorders>
            <w:vAlign w:val="center"/>
          </w:tcPr>
          <w:p w14:paraId="4E95C4C8">
            <w:pPr>
              <w:jc w:val="center"/>
              <w:rPr>
                <w:rFonts w:ascii="Times New Roman" w:hAnsi="Times New Roman" w:eastAsia="仿宋_GB2312"/>
                <w:kern w:val="0"/>
                <w:sz w:val="24"/>
                <w:szCs w:val="20"/>
              </w:rPr>
            </w:pPr>
            <w:r>
              <w:rPr>
                <w:rFonts w:hint="eastAsia" w:ascii="Times New Roman" w:hAnsi="Times New Roman" w:eastAsia="仿宋_GB2312"/>
                <w:kern w:val="0"/>
                <w:sz w:val="24"/>
                <w:szCs w:val="20"/>
              </w:rPr>
              <w:t>课程名称</w:t>
            </w:r>
          </w:p>
        </w:tc>
        <w:tc>
          <w:tcPr>
            <w:tcW w:w="610" w:type="dxa"/>
            <w:tcBorders>
              <w:top w:val="single" w:color="auto" w:sz="4" w:space="0"/>
              <w:left w:val="single" w:color="auto" w:sz="4" w:space="0"/>
              <w:bottom w:val="single" w:color="auto" w:sz="4" w:space="0"/>
              <w:right w:val="single" w:color="auto" w:sz="4" w:space="0"/>
            </w:tcBorders>
            <w:vAlign w:val="center"/>
          </w:tcPr>
          <w:p w14:paraId="5CAF603C">
            <w:pPr>
              <w:jc w:val="center"/>
              <w:rPr>
                <w:rFonts w:ascii="Times New Roman" w:hAnsi="Times New Roman" w:eastAsia="仿宋_GB2312"/>
                <w:kern w:val="0"/>
                <w:sz w:val="24"/>
                <w:szCs w:val="20"/>
              </w:rPr>
            </w:pPr>
            <w:r>
              <w:rPr>
                <w:rFonts w:hint="eastAsia" w:ascii="Times New Roman" w:hAnsi="Times New Roman" w:eastAsia="仿宋_GB2312"/>
                <w:kern w:val="0"/>
                <w:sz w:val="24"/>
                <w:szCs w:val="20"/>
              </w:rPr>
              <w:t>学分</w:t>
            </w:r>
          </w:p>
        </w:tc>
        <w:tc>
          <w:tcPr>
            <w:tcW w:w="969" w:type="dxa"/>
            <w:tcBorders>
              <w:top w:val="single" w:color="auto" w:sz="4" w:space="0"/>
              <w:left w:val="single" w:color="auto" w:sz="4" w:space="0"/>
              <w:bottom w:val="single" w:color="auto" w:sz="4" w:space="0"/>
              <w:right w:val="single" w:color="auto" w:sz="4" w:space="0"/>
            </w:tcBorders>
            <w:vAlign w:val="center"/>
          </w:tcPr>
          <w:p w14:paraId="1E25C970">
            <w:pPr>
              <w:jc w:val="center"/>
              <w:rPr>
                <w:rFonts w:ascii="Times New Roman" w:hAnsi="Times New Roman" w:eastAsia="仿宋_GB2312"/>
                <w:kern w:val="0"/>
                <w:sz w:val="24"/>
                <w:szCs w:val="20"/>
              </w:rPr>
            </w:pPr>
            <w:r>
              <w:rPr>
                <w:rFonts w:hint="eastAsia" w:ascii="Times New Roman" w:hAnsi="Times New Roman" w:eastAsia="仿宋_GB2312"/>
                <w:kern w:val="0"/>
                <w:sz w:val="24"/>
                <w:szCs w:val="20"/>
              </w:rPr>
              <w:t>学时</w:t>
            </w:r>
          </w:p>
        </w:tc>
        <w:tc>
          <w:tcPr>
            <w:tcW w:w="1159" w:type="dxa"/>
            <w:tcBorders>
              <w:top w:val="single" w:color="auto" w:sz="4" w:space="0"/>
              <w:left w:val="single" w:color="auto" w:sz="4" w:space="0"/>
              <w:bottom w:val="single" w:color="auto" w:sz="4" w:space="0"/>
              <w:right w:val="single" w:color="auto" w:sz="4" w:space="0"/>
            </w:tcBorders>
            <w:vAlign w:val="center"/>
          </w:tcPr>
          <w:p w14:paraId="6A3C1550">
            <w:pPr>
              <w:jc w:val="center"/>
              <w:rPr>
                <w:rFonts w:ascii="Times New Roman" w:hAnsi="Times New Roman" w:eastAsia="仿宋_GB2312"/>
                <w:kern w:val="0"/>
                <w:sz w:val="24"/>
                <w:szCs w:val="20"/>
              </w:rPr>
            </w:pPr>
            <w:r>
              <w:rPr>
                <w:rFonts w:hint="eastAsia" w:ascii="Times New Roman" w:hAnsi="Times New Roman" w:eastAsia="仿宋_GB2312"/>
                <w:kern w:val="0"/>
                <w:sz w:val="24"/>
                <w:szCs w:val="20"/>
              </w:rPr>
              <w:t>开课</w:t>
            </w:r>
          </w:p>
          <w:p w14:paraId="5F9C9377">
            <w:pPr>
              <w:jc w:val="center"/>
              <w:rPr>
                <w:rFonts w:ascii="Times New Roman" w:hAnsi="Times New Roman" w:eastAsia="仿宋_GB2312"/>
                <w:kern w:val="0"/>
                <w:sz w:val="24"/>
                <w:szCs w:val="20"/>
              </w:rPr>
            </w:pPr>
            <w:r>
              <w:rPr>
                <w:rFonts w:hint="eastAsia" w:ascii="Times New Roman" w:hAnsi="Times New Roman" w:eastAsia="仿宋_GB2312"/>
                <w:kern w:val="0"/>
                <w:sz w:val="24"/>
                <w:szCs w:val="20"/>
              </w:rPr>
              <w:t>学期</w:t>
            </w:r>
          </w:p>
        </w:tc>
        <w:tc>
          <w:tcPr>
            <w:tcW w:w="1337" w:type="dxa"/>
            <w:tcBorders>
              <w:top w:val="single" w:color="auto" w:sz="4" w:space="0"/>
              <w:left w:val="single" w:color="auto" w:sz="4" w:space="0"/>
              <w:bottom w:val="single" w:color="auto" w:sz="4" w:space="0"/>
              <w:right w:val="single" w:color="auto" w:sz="4" w:space="0"/>
            </w:tcBorders>
            <w:vAlign w:val="center"/>
          </w:tcPr>
          <w:p w14:paraId="6A686365">
            <w:pPr>
              <w:jc w:val="center"/>
              <w:rPr>
                <w:rFonts w:ascii="Times New Roman" w:hAnsi="Times New Roman" w:eastAsia="仿宋_GB2312"/>
                <w:kern w:val="0"/>
                <w:sz w:val="24"/>
                <w:szCs w:val="20"/>
              </w:rPr>
            </w:pPr>
            <w:r>
              <w:rPr>
                <w:rFonts w:hint="eastAsia" w:ascii="Times New Roman" w:hAnsi="Times New Roman" w:eastAsia="仿宋_GB2312"/>
                <w:kern w:val="0"/>
                <w:sz w:val="24"/>
                <w:szCs w:val="20"/>
              </w:rPr>
              <w:t>授课方式</w:t>
            </w:r>
          </w:p>
        </w:tc>
      </w:tr>
      <w:tr w14:paraId="06586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765" w:type="dxa"/>
            <w:tcBorders>
              <w:top w:val="single" w:color="auto" w:sz="4" w:space="0"/>
              <w:left w:val="single" w:color="auto" w:sz="4" w:space="0"/>
              <w:bottom w:val="single" w:color="auto" w:sz="4" w:space="0"/>
              <w:right w:val="single" w:color="auto" w:sz="4" w:space="0"/>
            </w:tcBorders>
            <w:vAlign w:val="center"/>
          </w:tcPr>
          <w:p w14:paraId="1A31C160">
            <w:pPr>
              <w:jc w:val="center"/>
              <w:rPr>
                <w:rFonts w:ascii="Times New Roman" w:hAnsi="Times New Roman" w:eastAsia="仿宋_GB2312" w:cs="仿宋_GB2312"/>
                <w:kern w:val="0"/>
                <w:sz w:val="24"/>
                <w:szCs w:val="20"/>
              </w:rPr>
            </w:pPr>
            <w:r>
              <w:rPr>
                <w:rFonts w:hint="eastAsia" w:ascii="Times New Roman" w:hAnsi="Times New Roman" w:eastAsia="仿宋_GB2312" w:cs="仿宋_GB2312"/>
                <w:kern w:val="0"/>
                <w:szCs w:val="20"/>
              </w:rPr>
              <w:t>1</w:t>
            </w:r>
          </w:p>
        </w:tc>
        <w:tc>
          <w:tcPr>
            <w:tcW w:w="2375" w:type="dxa"/>
            <w:tcBorders>
              <w:top w:val="single" w:color="auto" w:sz="4" w:space="0"/>
              <w:left w:val="single" w:color="auto" w:sz="4" w:space="0"/>
              <w:bottom w:val="single" w:color="auto" w:sz="4" w:space="0"/>
              <w:right w:val="single" w:color="auto" w:sz="4" w:space="0"/>
            </w:tcBorders>
            <w:vAlign w:val="center"/>
          </w:tcPr>
          <w:p w14:paraId="1480F236">
            <w:pPr>
              <w:jc w:val="center"/>
              <w:rPr>
                <w:rFonts w:ascii="Times New Roman" w:hAnsi="Times New Roman" w:eastAsia="仿宋_GB2312"/>
                <w:kern w:val="0"/>
                <w:sz w:val="24"/>
                <w:szCs w:val="20"/>
              </w:rPr>
            </w:pPr>
            <w:r>
              <w:rPr>
                <w:rFonts w:hint="eastAsia" w:ascii="Times New Roman" w:hAnsi="Times New Roman" w:eastAsia="仿宋_GB2312"/>
                <w:kern w:val="0"/>
                <w:sz w:val="24"/>
                <w:szCs w:val="20"/>
              </w:rPr>
              <w:t>《</w:t>
            </w:r>
            <w:bookmarkStart w:id="0" w:name="OLE_LINK84"/>
            <w:bookmarkStart w:id="1" w:name="OLE_LINK85"/>
            <w:r>
              <w:rPr>
                <w:rFonts w:hint="eastAsia" w:ascii="Times New Roman" w:hAnsi="Times New Roman" w:eastAsia="仿宋_GB2312"/>
                <w:kern w:val="0"/>
                <w:sz w:val="24"/>
                <w:szCs w:val="20"/>
              </w:rPr>
              <w:t>人工智能导论</w:t>
            </w:r>
            <w:bookmarkEnd w:id="0"/>
            <w:bookmarkEnd w:id="1"/>
            <w:r>
              <w:rPr>
                <w:rFonts w:hint="eastAsia" w:ascii="Times New Roman" w:hAnsi="Times New Roman" w:eastAsia="仿宋_GB2312"/>
                <w:kern w:val="0"/>
                <w:sz w:val="24"/>
                <w:szCs w:val="20"/>
              </w:rPr>
              <w:t>》</w:t>
            </w:r>
          </w:p>
        </w:tc>
        <w:tc>
          <w:tcPr>
            <w:tcW w:w="610" w:type="dxa"/>
            <w:tcBorders>
              <w:top w:val="single" w:color="auto" w:sz="4" w:space="0"/>
              <w:left w:val="single" w:color="auto" w:sz="4" w:space="0"/>
              <w:bottom w:val="single" w:color="auto" w:sz="4" w:space="0"/>
              <w:right w:val="single" w:color="auto" w:sz="4" w:space="0"/>
            </w:tcBorders>
            <w:vAlign w:val="center"/>
          </w:tcPr>
          <w:p w14:paraId="04216A18">
            <w:pPr>
              <w:jc w:val="center"/>
              <w:rPr>
                <w:rFonts w:ascii="Times New Roman" w:hAnsi="Times New Roman" w:eastAsia="仿宋_GB2312"/>
                <w:kern w:val="0"/>
                <w:sz w:val="24"/>
                <w:szCs w:val="20"/>
              </w:rPr>
            </w:pPr>
            <w:r>
              <w:rPr>
                <w:rFonts w:hint="eastAsia" w:ascii="Times New Roman" w:hAnsi="Times New Roman" w:eastAsia="仿宋_GB2312"/>
                <w:kern w:val="0"/>
                <w:sz w:val="24"/>
                <w:szCs w:val="20"/>
              </w:rPr>
              <w:t>1</w:t>
            </w:r>
          </w:p>
        </w:tc>
        <w:tc>
          <w:tcPr>
            <w:tcW w:w="969" w:type="dxa"/>
            <w:tcBorders>
              <w:top w:val="single" w:color="auto" w:sz="4" w:space="0"/>
              <w:left w:val="single" w:color="auto" w:sz="4" w:space="0"/>
              <w:bottom w:val="single" w:color="auto" w:sz="4" w:space="0"/>
              <w:right w:val="single" w:color="auto" w:sz="4" w:space="0"/>
            </w:tcBorders>
            <w:vAlign w:val="center"/>
          </w:tcPr>
          <w:p w14:paraId="39CDAF6A">
            <w:pPr>
              <w:jc w:val="center"/>
              <w:rPr>
                <w:rFonts w:ascii="Times New Roman" w:hAnsi="Times New Roman" w:eastAsia="仿宋_GB2312"/>
                <w:kern w:val="0"/>
                <w:sz w:val="24"/>
                <w:szCs w:val="20"/>
              </w:rPr>
            </w:pPr>
            <w:r>
              <w:rPr>
                <w:rFonts w:hint="eastAsia" w:ascii="Times New Roman" w:hAnsi="Times New Roman" w:eastAsia="仿宋_GB2312"/>
                <w:kern w:val="0"/>
                <w:sz w:val="24"/>
                <w:szCs w:val="20"/>
              </w:rPr>
              <w:t>16</w:t>
            </w:r>
          </w:p>
        </w:tc>
        <w:tc>
          <w:tcPr>
            <w:tcW w:w="1159" w:type="dxa"/>
            <w:tcBorders>
              <w:top w:val="single" w:color="auto" w:sz="4" w:space="0"/>
              <w:left w:val="single" w:color="auto" w:sz="4" w:space="0"/>
              <w:bottom w:val="single" w:color="auto" w:sz="4" w:space="0"/>
              <w:right w:val="single" w:color="auto" w:sz="4" w:space="0"/>
            </w:tcBorders>
            <w:vAlign w:val="center"/>
          </w:tcPr>
          <w:p w14:paraId="67CF05D4">
            <w:pPr>
              <w:rPr>
                <w:rFonts w:ascii="Times New Roman" w:hAnsi="Times New Roman" w:eastAsia="仿宋_GB2312" w:cs="仿宋_GB2312"/>
                <w:kern w:val="0"/>
                <w:sz w:val="24"/>
                <w:szCs w:val="20"/>
              </w:rPr>
            </w:pPr>
            <w:r>
              <w:rPr>
                <w:rFonts w:hint="eastAsia" w:ascii="Times New Roman" w:hAnsi="Times New Roman" w:eastAsia="仿宋_GB2312" w:cs="仿宋_GB2312"/>
                <w:bCs/>
                <w:szCs w:val="21"/>
              </w:rPr>
              <w:t>第一学年第一学期</w:t>
            </w:r>
          </w:p>
        </w:tc>
        <w:tc>
          <w:tcPr>
            <w:tcW w:w="1337" w:type="dxa"/>
            <w:tcBorders>
              <w:top w:val="single" w:color="auto" w:sz="4" w:space="0"/>
              <w:left w:val="single" w:color="auto" w:sz="4" w:space="0"/>
              <w:bottom w:val="single" w:color="auto" w:sz="4" w:space="0"/>
              <w:right w:val="single" w:color="auto" w:sz="4" w:space="0"/>
            </w:tcBorders>
            <w:vAlign w:val="center"/>
          </w:tcPr>
          <w:p w14:paraId="7F050172">
            <w:pPr>
              <w:rPr>
                <w:rFonts w:ascii="Times New Roman" w:hAnsi="Times New Roman" w:eastAsia="仿宋_GB2312" w:cs="仿宋_GB2312"/>
                <w:bCs/>
                <w:szCs w:val="21"/>
              </w:rPr>
            </w:pPr>
            <w:r>
              <w:rPr>
                <w:rFonts w:hint="eastAsia" w:ascii="Times New Roman" w:hAnsi="Times New Roman" w:eastAsia="仿宋_GB2312" w:cs="仿宋_GB2312"/>
                <w:bCs/>
                <w:szCs w:val="21"/>
              </w:rPr>
              <w:t>线上、线下混合式教学</w:t>
            </w:r>
          </w:p>
        </w:tc>
      </w:tr>
      <w:tr w14:paraId="170E5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65" w:type="dxa"/>
            <w:tcBorders>
              <w:top w:val="single" w:color="auto" w:sz="4" w:space="0"/>
              <w:left w:val="single" w:color="auto" w:sz="4" w:space="0"/>
              <w:bottom w:val="single" w:color="auto" w:sz="4" w:space="0"/>
              <w:right w:val="single" w:color="auto" w:sz="4" w:space="0"/>
            </w:tcBorders>
            <w:vAlign w:val="center"/>
          </w:tcPr>
          <w:p w14:paraId="36E07E1C">
            <w:pPr>
              <w:jc w:val="center"/>
              <w:rPr>
                <w:rFonts w:ascii="Times New Roman" w:hAnsi="Times New Roman" w:eastAsia="仿宋_GB2312" w:cs="仿宋_GB2312"/>
                <w:kern w:val="0"/>
                <w:sz w:val="24"/>
                <w:szCs w:val="20"/>
              </w:rPr>
            </w:pPr>
            <w:r>
              <w:rPr>
                <w:rFonts w:hint="eastAsia" w:ascii="Times New Roman" w:hAnsi="Times New Roman" w:eastAsia="仿宋_GB2312" w:cs="仿宋_GB2312"/>
                <w:kern w:val="0"/>
                <w:szCs w:val="20"/>
              </w:rPr>
              <w:t>2</w:t>
            </w:r>
          </w:p>
        </w:tc>
        <w:tc>
          <w:tcPr>
            <w:tcW w:w="2375" w:type="dxa"/>
            <w:tcBorders>
              <w:top w:val="single" w:color="auto" w:sz="4" w:space="0"/>
              <w:left w:val="single" w:color="auto" w:sz="4" w:space="0"/>
              <w:bottom w:val="single" w:color="auto" w:sz="4" w:space="0"/>
              <w:right w:val="single" w:color="auto" w:sz="4" w:space="0"/>
            </w:tcBorders>
            <w:vAlign w:val="center"/>
          </w:tcPr>
          <w:p w14:paraId="5BAC29E8">
            <w:pPr>
              <w:rPr>
                <w:rFonts w:ascii="Times New Roman" w:hAnsi="Times New Roman" w:eastAsia="仿宋_GB2312"/>
                <w:kern w:val="0"/>
                <w:sz w:val="24"/>
                <w:szCs w:val="20"/>
              </w:rPr>
            </w:pPr>
            <w:bookmarkStart w:id="2" w:name="OLE_LINK88"/>
            <w:bookmarkStart w:id="3" w:name="OLE_LINK89"/>
            <w:r>
              <w:rPr>
                <w:rFonts w:hint="eastAsia" w:ascii="Times New Roman" w:hAnsi="Times New Roman" w:eastAsia="仿宋_GB2312"/>
                <w:kern w:val="0"/>
                <w:sz w:val="24"/>
                <w:szCs w:val="20"/>
              </w:rPr>
              <w:t>《电气控制与PLC原理及应用》</w:t>
            </w:r>
            <w:bookmarkEnd w:id="2"/>
            <w:bookmarkEnd w:id="3"/>
          </w:p>
        </w:tc>
        <w:tc>
          <w:tcPr>
            <w:tcW w:w="610" w:type="dxa"/>
            <w:tcBorders>
              <w:top w:val="single" w:color="auto" w:sz="4" w:space="0"/>
              <w:left w:val="single" w:color="auto" w:sz="4" w:space="0"/>
              <w:bottom w:val="single" w:color="auto" w:sz="4" w:space="0"/>
              <w:right w:val="single" w:color="auto" w:sz="4" w:space="0"/>
            </w:tcBorders>
            <w:vAlign w:val="center"/>
          </w:tcPr>
          <w:p w14:paraId="317CBBC5">
            <w:pPr>
              <w:jc w:val="center"/>
              <w:rPr>
                <w:rFonts w:ascii="Times New Roman" w:hAnsi="Times New Roman" w:eastAsia="仿宋_GB2312"/>
                <w:kern w:val="0"/>
                <w:sz w:val="24"/>
                <w:szCs w:val="20"/>
              </w:rPr>
            </w:pPr>
            <w:r>
              <w:rPr>
                <w:rFonts w:hint="eastAsia" w:ascii="Times New Roman" w:hAnsi="Times New Roman" w:eastAsia="仿宋_GB2312"/>
                <w:kern w:val="0"/>
                <w:sz w:val="24"/>
                <w:szCs w:val="20"/>
              </w:rPr>
              <w:t>2</w:t>
            </w:r>
          </w:p>
        </w:tc>
        <w:tc>
          <w:tcPr>
            <w:tcW w:w="969" w:type="dxa"/>
            <w:tcBorders>
              <w:top w:val="single" w:color="auto" w:sz="4" w:space="0"/>
              <w:left w:val="single" w:color="auto" w:sz="4" w:space="0"/>
              <w:bottom w:val="single" w:color="auto" w:sz="4" w:space="0"/>
              <w:right w:val="single" w:color="auto" w:sz="4" w:space="0"/>
            </w:tcBorders>
            <w:vAlign w:val="center"/>
          </w:tcPr>
          <w:p w14:paraId="0DF0489F">
            <w:pPr>
              <w:jc w:val="center"/>
              <w:rPr>
                <w:rFonts w:ascii="Times New Roman" w:hAnsi="Times New Roman" w:eastAsia="仿宋_GB2312"/>
                <w:kern w:val="0"/>
                <w:sz w:val="24"/>
                <w:szCs w:val="20"/>
              </w:rPr>
            </w:pPr>
            <w:r>
              <w:rPr>
                <w:rFonts w:hint="eastAsia" w:ascii="Times New Roman" w:hAnsi="Times New Roman" w:eastAsia="仿宋_GB2312"/>
                <w:kern w:val="0"/>
                <w:sz w:val="24"/>
                <w:szCs w:val="20"/>
              </w:rPr>
              <w:t>32</w:t>
            </w:r>
          </w:p>
        </w:tc>
        <w:tc>
          <w:tcPr>
            <w:tcW w:w="1159" w:type="dxa"/>
            <w:tcBorders>
              <w:top w:val="single" w:color="auto" w:sz="4" w:space="0"/>
              <w:left w:val="single" w:color="auto" w:sz="4" w:space="0"/>
              <w:bottom w:val="single" w:color="auto" w:sz="4" w:space="0"/>
              <w:right w:val="single" w:color="auto" w:sz="4" w:space="0"/>
            </w:tcBorders>
            <w:vAlign w:val="center"/>
          </w:tcPr>
          <w:p w14:paraId="6657ED18">
            <w:pPr>
              <w:rPr>
                <w:rFonts w:ascii="Times New Roman" w:hAnsi="Times New Roman" w:eastAsia="仿宋_GB2312" w:cs="仿宋_GB2312"/>
                <w:kern w:val="0"/>
                <w:sz w:val="24"/>
                <w:szCs w:val="20"/>
              </w:rPr>
            </w:pPr>
            <w:r>
              <w:rPr>
                <w:rFonts w:hint="eastAsia" w:ascii="Times New Roman" w:hAnsi="Times New Roman" w:eastAsia="仿宋_GB2312" w:cs="仿宋_GB2312"/>
                <w:bCs/>
                <w:szCs w:val="21"/>
              </w:rPr>
              <w:t>第一学年第一学期</w:t>
            </w:r>
          </w:p>
        </w:tc>
        <w:tc>
          <w:tcPr>
            <w:tcW w:w="1337" w:type="dxa"/>
            <w:tcBorders>
              <w:top w:val="single" w:color="auto" w:sz="4" w:space="0"/>
              <w:left w:val="single" w:color="auto" w:sz="4" w:space="0"/>
              <w:bottom w:val="single" w:color="auto" w:sz="4" w:space="0"/>
              <w:right w:val="single" w:color="auto" w:sz="4" w:space="0"/>
            </w:tcBorders>
            <w:vAlign w:val="center"/>
          </w:tcPr>
          <w:p w14:paraId="35B2BF81">
            <w:pPr>
              <w:rPr>
                <w:rFonts w:ascii="Times New Roman" w:hAnsi="Times New Roman" w:eastAsia="仿宋_GB2312" w:cs="仿宋_GB2312"/>
                <w:bCs/>
                <w:szCs w:val="21"/>
              </w:rPr>
            </w:pPr>
            <w:r>
              <w:rPr>
                <w:rFonts w:hint="eastAsia" w:ascii="Times New Roman" w:hAnsi="Times New Roman" w:eastAsia="仿宋_GB2312" w:cs="仿宋_GB2312"/>
                <w:bCs/>
                <w:szCs w:val="21"/>
              </w:rPr>
              <w:t>线上、线下混合式教学</w:t>
            </w:r>
          </w:p>
        </w:tc>
      </w:tr>
      <w:tr w14:paraId="250F0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765" w:type="dxa"/>
            <w:tcBorders>
              <w:top w:val="single" w:color="auto" w:sz="4" w:space="0"/>
              <w:left w:val="single" w:color="auto" w:sz="4" w:space="0"/>
              <w:bottom w:val="single" w:color="auto" w:sz="4" w:space="0"/>
              <w:right w:val="single" w:color="auto" w:sz="4" w:space="0"/>
            </w:tcBorders>
            <w:vAlign w:val="center"/>
          </w:tcPr>
          <w:p w14:paraId="1475079C">
            <w:pPr>
              <w:jc w:val="center"/>
              <w:rPr>
                <w:rFonts w:ascii="Times New Roman" w:hAnsi="Times New Roman" w:eastAsia="仿宋_GB2312" w:cs="仿宋_GB2312"/>
                <w:kern w:val="0"/>
                <w:sz w:val="24"/>
                <w:szCs w:val="20"/>
              </w:rPr>
            </w:pPr>
            <w:r>
              <w:rPr>
                <w:rFonts w:hint="eastAsia" w:ascii="Times New Roman" w:hAnsi="Times New Roman" w:eastAsia="仿宋_GB2312" w:cs="仿宋_GB2312"/>
                <w:kern w:val="0"/>
                <w:szCs w:val="20"/>
              </w:rPr>
              <w:t>3</w:t>
            </w:r>
          </w:p>
        </w:tc>
        <w:tc>
          <w:tcPr>
            <w:tcW w:w="2375" w:type="dxa"/>
            <w:tcBorders>
              <w:top w:val="single" w:color="auto" w:sz="4" w:space="0"/>
              <w:left w:val="single" w:color="auto" w:sz="4" w:space="0"/>
              <w:bottom w:val="single" w:color="auto" w:sz="4" w:space="0"/>
              <w:right w:val="single" w:color="auto" w:sz="4" w:space="0"/>
            </w:tcBorders>
            <w:vAlign w:val="center"/>
          </w:tcPr>
          <w:p w14:paraId="2E9A4E66">
            <w:pPr>
              <w:rPr>
                <w:rFonts w:ascii="Times New Roman" w:hAnsi="Times New Roman" w:eastAsia="仿宋_GB2312"/>
                <w:kern w:val="0"/>
                <w:sz w:val="24"/>
                <w:szCs w:val="20"/>
              </w:rPr>
            </w:pPr>
            <w:bookmarkStart w:id="4" w:name="OLE_LINK90"/>
            <w:r>
              <w:rPr>
                <w:rFonts w:hint="eastAsia" w:ascii="Times New Roman" w:hAnsi="Times New Roman" w:eastAsia="仿宋_GB2312"/>
                <w:kern w:val="0"/>
                <w:sz w:val="24"/>
                <w:szCs w:val="20"/>
              </w:rPr>
              <w:t>《</w:t>
            </w:r>
            <w:r>
              <w:rPr>
                <w:rFonts w:ascii="Times New Roman" w:hAnsi="Times New Roman" w:eastAsia="仿宋_GB2312"/>
                <w:kern w:val="0"/>
                <w:sz w:val="24"/>
                <w:szCs w:val="20"/>
              </w:rPr>
              <w:t>数字孪生建模技术</w:t>
            </w:r>
            <w:r>
              <w:rPr>
                <w:rFonts w:hint="eastAsia" w:ascii="Times New Roman" w:hAnsi="Times New Roman" w:eastAsia="仿宋_GB2312"/>
                <w:kern w:val="0"/>
                <w:sz w:val="24"/>
                <w:szCs w:val="20"/>
              </w:rPr>
              <w:t>》</w:t>
            </w:r>
            <w:bookmarkEnd w:id="4"/>
          </w:p>
        </w:tc>
        <w:tc>
          <w:tcPr>
            <w:tcW w:w="610" w:type="dxa"/>
            <w:tcBorders>
              <w:top w:val="single" w:color="auto" w:sz="4" w:space="0"/>
              <w:left w:val="single" w:color="auto" w:sz="4" w:space="0"/>
              <w:bottom w:val="single" w:color="auto" w:sz="4" w:space="0"/>
              <w:right w:val="single" w:color="auto" w:sz="4" w:space="0"/>
            </w:tcBorders>
            <w:vAlign w:val="center"/>
          </w:tcPr>
          <w:p w14:paraId="4304BC03">
            <w:pPr>
              <w:jc w:val="center"/>
              <w:rPr>
                <w:rFonts w:ascii="Times New Roman" w:hAnsi="Times New Roman" w:eastAsia="仿宋_GB2312"/>
                <w:kern w:val="0"/>
                <w:sz w:val="24"/>
                <w:szCs w:val="20"/>
              </w:rPr>
            </w:pPr>
            <w:r>
              <w:rPr>
                <w:rFonts w:hint="eastAsia" w:ascii="Times New Roman" w:hAnsi="Times New Roman" w:eastAsia="仿宋_GB2312"/>
                <w:kern w:val="0"/>
                <w:sz w:val="24"/>
                <w:szCs w:val="20"/>
              </w:rPr>
              <w:t>2</w:t>
            </w:r>
          </w:p>
        </w:tc>
        <w:tc>
          <w:tcPr>
            <w:tcW w:w="969" w:type="dxa"/>
            <w:tcBorders>
              <w:top w:val="single" w:color="auto" w:sz="4" w:space="0"/>
              <w:left w:val="single" w:color="auto" w:sz="4" w:space="0"/>
              <w:bottom w:val="single" w:color="auto" w:sz="4" w:space="0"/>
              <w:right w:val="single" w:color="auto" w:sz="4" w:space="0"/>
            </w:tcBorders>
            <w:vAlign w:val="center"/>
          </w:tcPr>
          <w:p w14:paraId="04659B79">
            <w:pPr>
              <w:jc w:val="center"/>
              <w:rPr>
                <w:rFonts w:ascii="Times New Roman" w:hAnsi="Times New Roman" w:eastAsia="仿宋_GB2312"/>
                <w:kern w:val="0"/>
                <w:sz w:val="24"/>
                <w:szCs w:val="20"/>
              </w:rPr>
            </w:pPr>
            <w:r>
              <w:rPr>
                <w:rFonts w:hint="eastAsia" w:ascii="Times New Roman" w:hAnsi="Times New Roman" w:eastAsia="仿宋_GB2312"/>
                <w:kern w:val="0"/>
                <w:sz w:val="24"/>
                <w:szCs w:val="20"/>
              </w:rPr>
              <w:t>32</w:t>
            </w:r>
          </w:p>
        </w:tc>
        <w:tc>
          <w:tcPr>
            <w:tcW w:w="1159" w:type="dxa"/>
            <w:tcBorders>
              <w:top w:val="single" w:color="auto" w:sz="4" w:space="0"/>
              <w:left w:val="single" w:color="auto" w:sz="4" w:space="0"/>
              <w:bottom w:val="single" w:color="auto" w:sz="4" w:space="0"/>
              <w:right w:val="single" w:color="auto" w:sz="4" w:space="0"/>
            </w:tcBorders>
            <w:vAlign w:val="center"/>
          </w:tcPr>
          <w:p w14:paraId="6B7EFEB1">
            <w:pPr>
              <w:rPr>
                <w:rFonts w:ascii="Times New Roman" w:hAnsi="Times New Roman" w:eastAsia="仿宋_GB2312" w:cs="仿宋_GB2312"/>
                <w:kern w:val="0"/>
                <w:sz w:val="24"/>
                <w:szCs w:val="20"/>
              </w:rPr>
            </w:pPr>
            <w:r>
              <w:rPr>
                <w:rFonts w:hint="eastAsia" w:ascii="Times New Roman" w:hAnsi="Times New Roman" w:eastAsia="仿宋_GB2312" w:cs="仿宋_GB2312"/>
                <w:bCs/>
                <w:szCs w:val="21"/>
              </w:rPr>
              <w:t>第一学年第一学期</w:t>
            </w:r>
          </w:p>
        </w:tc>
        <w:tc>
          <w:tcPr>
            <w:tcW w:w="1337" w:type="dxa"/>
            <w:tcBorders>
              <w:top w:val="single" w:color="auto" w:sz="4" w:space="0"/>
              <w:left w:val="single" w:color="auto" w:sz="4" w:space="0"/>
              <w:bottom w:val="single" w:color="auto" w:sz="4" w:space="0"/>
              <w:right w:val="single" w:color="auto" w:sz="4" w:space="0"/>
            </w:tcBorders>
            <w:vAlign w:val="center"/>
          </w:tcPr>
          <w:p w14:paraId="1A1AF585">
            <w:pPr>
              <w:rPr>
                <w:rFonts w:ascii="Times New Roman" w:hAnsi="Times New Roman" w:eastAsia="仿宋_GB2312" w:cs="仿宋_GB2312"/>
                <w:bCs/>
                <w:szCs w:val="21"/>
              </w:rPr>
            </w:pPr>
            <w:r>
              <w:rPr>
                <w:rFonts w:hint="eastAsia" w:ascii="Times New Roman" w:hAnsi="Times New Roman" w:eastAsia="仿宋_GB2312" w:cs="仿宋_GB2312"/>
                <w:bCs/>
                <w:szCs w:val="21"/>
              </w:rPr>
              <w:t>线上、线下混合式教学</w:t>
            </w:r>
          </w:p>
        </w:tc>
      </w:tr>
      <w:tr w14:paraId="1D3FB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765" w:type="dxa"/>
            <w:tcBorders>
              <w:top w:val="single" w:color="auto" w:sz="4" w:space="0"/>
              <w:left w:val="single" w:color="auto" w:sz="4" w:space="0"/>
              <w:bottom w:val="single" w:color="auto" w:sz="4" w:space="0"/>
              <w:right w:val="single" w:color="auto" w:sz="4" w:space="0"/>
            </w:tcBorders>
            <w:vAlign w:val="center"/>
          </w:tcPr>
          <w:p w14:paraId="6F8BE704">
            <w:pPr>
              <w:jc w:val="center"/>
              <w:rPr>
                <w:rFonts w:ascii="Times New Roman" w:hAnsi="Times New Roman" w:eastAsia="仿宋_GB2312" w:cs="仿宋_GB2312"/>
                <w:kern w:val="0"/>
                <w:sz w:val="24"/>
                <w:szCs w:val="20"/>
              </w:rPr>
            </w:pPr>
            <w:r>
              <w:rPr>
                <w:rFonts w:hint="eastAsia" w:ascii="Times New Roman" w:hAnsi="Times New Roman" w:eastAsia="仿宋_GB2312" w:cs="仿宋_GB2312"/>
                <w:kern w:val="0"/>
                <w:szCs w:val="20"/>
              </w:rPr>
              <w:t>4</w:t>
            </w:r>
          </w:p>
        </w:tc>
        <w:tc>
          <w:tcPr>
            <w:tcW w:w="2375" w:type="dxa"/>
            <w:tcBorders>
              <w:top w:val="single" w:color="auto" w:sz="4" w:space="0"/>
              <w:left w:val="single" w:color="auto" w:sz="4" w:space="0"/>
              <w:bottom w:val="single" w:color="auto" w:sz="4" w:space="0"/>
              <w:right w:val="single" w:color="auto" w:sz="4" w:space="0"/>
            </w:tcBorders>
            <w:vAlign w:val="center"/>
          </w:tcPr>
          <w:p w14:paraId="7556823B">
            <w:pPr>
              <w:rPr>
                <w:rFonts w:ascii="Times New Roman" w:hAnsi="Times New Roman" w:eastAsia="仿宋_GB2312"/>
                <w:kern w:val="0"/>
                <w:sz w:val="24"/>
                <w:szCs w:val="20"/>
              </w:rPr>
            </w:pPr>
            <w:bookmarkStart w:id="5" w:name="OLE_LINK92"/>
            <w:bookmarkStart w:id="6" w:name="OLE_LINK91"/>
            <w:r>
              <w:rPr>
                <w:rFonts w:hint="eastAsia" w:ascii="Times New Roman" w:hAnsi="Times New Roman" w:eastAsia="仿宋_GB2312"/>
                <w:kern w:val="0"/>
                <w:sz w:val="24"/>
                <w:szCs w:val="20"/>
              </w:rPr>
              <w:t>《传感器与智能检测技术》</w:t>
            </w:r>
            <w:bookmarkEnd w:id="5"/>
            <w:bookmarkEnd w:id="6"/>
          </w:p>
        </w:tc>
        <w:tc>
          <w:tcPr>
            <w:tcW w:w="610" w:type="dxa"/>
            <w:tcBorders>
              <w:top w:val="single" w:color="auto" w:sz="4" w:space="0"/>
              <w:left w:val="single" w:color="auto" w:sz="4" w:space="0"/>
              <w:bottom w:val="single" w:color="auto" w:sz="4" w:space="0"/>
              <w:right w:val="single" w:color="auto" w:sz="4" w:space="0"/>
            </w:tcBorders>
            <w:vAlign w:val="center"/>
          </w:tcPr>
          <w:p w14:paraId="141BBE40">
            <w:pPr>
              <w:jc w:val="center"/>
              <w:rPr>
                <w:rFonts w:ascii="Times New Roman" w:hAnsi="Times New Roman" w:eastAsia="仿宋_GB2312"/>
                <w:kern w:val="0"/>
                <w:sz w:val="24"/>
                <w:szCs w:val="20"/>
              </w:rPr>
            </w:pPr>
            <w:r>
              <w:rPr>
                <w:rFonts w:hint="eastAsia" w:ascii="Times New Roman" w:hAnsi="Times New Roman" w:eastAsia="仿宋_GB2312"/>
                <w:kern w:val="0"/>
                <w:sz w:val="24"/>
                <w:szCs w:val="20"/>
              </w:rPr>
              <w:t>2</w:t>
            </w:r>
          </w:p>
        </w:tc>
        <w:tc>
          <w:tcPr>
            <w:tcW w:w="969" w:type="dxa"/>
            <w:tcBorders>
              <w:top w:val="single" w:color="auto" w:sz="4" w:space="0"/>
              <w:left w:val="single" w:color="auto" w:sz="4" w:space="0"/>
              <w:bottom w:val="single" w:color="auto" w:sz="4" w:space="0"/>
              <w:right w:val="single" w:color="auto" w:sz="4" w:space="0"/>
            </w:tcBorders>
            <w:vAlign w:val="center"/>
          </w:tcPr>
          <w:p w14:paraId="008B9CF0">
            <w:pPr>
              <w:jc w:val="center"/>
              <w:rPr>
                <w:rFonts w:ascii="Times New Roman" w:hAnsi="Times New Roman" w:eastAsia="仿宋_GB2312"/>
                <w:kern w:val="0"/>
                <w:sz w:val="24"/>
                <w:szCs w:val="20"/>
              </w:rPr>
            </w:pPr>
            <w:r>
              <w:rPr>
                <w:rFonts w:hint="eastAsia" w:ascii="Times New Roman" w:hAnsi="Times New Roman" w:eastAsia="仿宋_GB2312"/>
                <w:kern w:val="0"/>
                <w:sz w:val="24"/>
                <w:szCs w:val="20"/>
              </w:rPr>
              <w:t>32</w:t>
            </w:r>
          </w:p>
        </w:tc>
        <w:tc>
          <w:tcPr>
            <w:tcW w:w="1159" w:type="dxa"/>
            <w:tcBorders>
              <w:top w:val="single" w:color="auto" w:sz="4" w:space="0"/>
              <w:left w:val="single" w:color="auto" w:sz="4" w:space="0"/>
              <w:bottom w:val="single" w:color="auto" w:sz="4" w:space="0"/>
              <w:right w:val="single" w:color="auto" w:sz="4" w:space="0"/>
            </w:tcBorders>
            <w:vAlign w:val="center"/>
          </w:tcPr>
          <w:p w14:paraId="37F72555">
            <w:pPr>
              <w:rPr>
                <w:rFonts w:ascii="Times New Roman" w:hAnsi="Times New Roman" w:eastAsia="仿宋_GB2312" w:cs="仿宋_GB2312"/>
                <w:kern w:val="0"/>
                <w:sz w:val="24"/>
                <w:szCs w:val="20"/>
              </w:rPr>
            </w:pPr>
            <w:r>
              <w:rPr>
                <w:rFonts w:hint="eastAsia" w:ascii="Times New Roman" w:hAnsi="Times New Roman" w:eastAsia="仿宋_GB2312" w:cs="仿宋_GB2312"/>
                <w:bCs/>
                <w:szCs w:val="21"/>
              </w:rPr>
              <w:t>第一学年第二学期</w:t>
            </w:r>
          </w:p>
        </w:tc>
        <w:tc>
          <w:tcPr>
            <w:tcW w:w="1337" w:type="dxa"/>
            <w:tcBorders>
              <w:top w:val="single" w:color="auto" w:sz="4" w:space="0"/>
              <w:left w:val="single" w:color="auto" w:sz="4" w:space="0"/>
              <w:bottom w:val="single" w:color="auto" w:sz="4" w:space="0"/>
              <w:right w:val="single" w:color="auto" w:sz="4" w:space="0"/>
            </w:tcBorders>
            <w:vAlign w:val="center"/>
          </w:tcPr>
          <w:p w14:paraId="57D6B421">
            <w:pPr>
              <w:rPr>
                <w:rFonts w:ascii="Times New Roman" w:hAnsi="Times New Roman" w:eastAsia="仿宋_GB2312" w:cs="仿宋_GB2312"/>
                <w:bCs/>
                <w:szCs w:val="21"/>
              </w:rPr>
            </w:pPr>
            <w:r>
              <w:rPr>
                <w:rFonts w:hint="eastAsia" w:ascii="Times New Roman" w:hAnsi="Times New Roman" w:eastAsia="仿宋_GB2312" w:cs="仿宋_GB2312"/>
                <w:bCs/>
                <w:szCs w:val="21"/>
              </w:rPr>
              <w:t>线上、线下混合式教学</w:t>
            </w:r>
          </w:p>
        </w:tc>
      </w:tr>
      <w:tr w14:paraId="2F322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765" w:type="dxa"/>
            <w:tcBorders>
              <w:top w:val="single" w:color="auto" w:sz="4" w:space="0"/>
              <w:left w:val="single" w:color="auto" w:sz="4" w:space="0"/>
              <w:bottom w:val="single" w:color="auto" w:sz="4" w:space="0"/>
              <w:right w:val="single" w:color="auto" w:sz="4" w:space="0"/>
            </w:tcBorders>
            <w:vAlign w:val="center"/>
          </w:tcPr>
          <w:p w14:paraId="1AB0BA89">
            <w:pPr>
              <w:jc w:val="center"/>
              <w:rPr>
                <w:rFonts w:ascii="Times New Roman" w:hAnsi="Times New Roman" w:eastAsia="仿宋_GB2312" w:cs="仿宋_GB2312"/>
                <w:kern w:val="0"/>
                <w:sz w:val="24"/>
                <w:szCs w:val="20"/>
              </w:rPr>
            </w:pPr>
            <w:r>
              <w:rPr>
                <w:rFonts w:hint="eastAsia" w:ascii="Times New Roman" w:hAnsi="Times New Roman" w:eastAsia="仿宋_GB2312" w:cs="仿宋_GB2312"/>
                <w:kern w:val="0"/>
                <w:szCs w:val="20"/>
              </w:rPr>
              <w:t>5</w:t>
            </w:r>
          </w:p>
        </w:tc>
        <w:tc>
          <w:tcPr>
            <w:tcW w:w="2375" w:type="dxa"/>
            <w:tcBorders>
              <w:top w:val="single" w:color="auto" w:sz="4" w:space="0"/>
              <w:left w:val="single" w:color="auto" w:sz="4" w:space="0"/>
              <w:bottom w:val="single" w:color="auto" w:sz="4" w:space="0"/>
              <w:right w:val="single" w:color="auto" w:sz="4" w:space="0"/>
            </w:tcBorders>
            <w:vAlign w:val="center"/>
          </w:tcPr>
          <w:p w14:paraId="316B4002">
            <w:pPr>
              <w:rPr>
                <w:rFonts w:ascii="Times New Roman" w:hAnsi="Times New Roman" w:eastAsia="仿宋_GB2312"/>
                <w:kern w:val="0"/>
                <w:sz w:val="24"/>
                <w:szCs w:val="20"/>
              </w:rPr>
            </w:pPr>
            <w:bookmarkStart w:id="7" w:name="OLE_LINK93"/>
            <w:r>
              <w:rPr>
                <w:rFonts w:hint="eastAsia" w:ascii="Times New Roman" w:hAnsi="Times New Roman" w:eastAsia="仿宋_GB2312"/>
                <w:kern w:val="0"/>
                <w:sz w:val="24"/>
                <w:szCs w:val="20"/>
              </w:rPr>
              <w:t>《机器视觉与智能图像处理》</w:t>
            </w:r>
            <w:bookmarkEnd w:id="7"/>
          </w:p>
        </w:tc>
        <w:tc>
          <w:tcPr>
            <w:tcW w:w="610" w:type="dxa"/>
            <w:tcBorders>
              <w:top w:val="single" w:color="auto" w:sz="4" w:space="0"/>
              <w:left w:val="single" w:color="auto" w:sz="4" w:space="0"/>
              <w:bottom w:val="single" w:color="auto" w:sz="4" w:space="0"/>
              <w:right w:val="single" w:color="auto" w:sz="4" w:space="0"/>
            </w:tcBorders>
            <w:vAlign w:val="center"/>
          </w:tcPr>
          <w:p w14:paraId="4556C039">
            <w:pPr>
              <w:jc w:val="center"/>
              <w:rPr>
                <w:rFonts w:ascii="Times New Roman" w:hAnsi="Times New Roman" w:eastAsia="仿宋_GB2312"/>
                <w:kern w:val="0"/>
                <w:sz w:val="24"/>
                <w:szCs w:val="20"/>
              </w:rPr>
            </w:pPr>
            <w:r>
              <w:rPr>
                <w:rFonts w:hint="eastAsia" w:ascii="Times New Roman" w:hAnsi="Times New Roman" w:eastAsia="仿宋_GB2312"/>
                <w:kern w:val="0"/>
                <w:sz w:val="24"/>
                <w:szCs w:val="20"/>
              </w:rPr>
              <w:t>2</w:t>
            </w:r>
          </w:p>
        </w:tc>
        <w:tc>
          <w:tcPr>
            <w:tcW w:w="969" w:type="dxa"/>
            <w:tcBorders>
              <w:top w:val="single" w:color="auto" w:sz="4" w:space="0"/>
              <w:left w:val="single" w:color="auto" w:sz="4" w:space="0"/>
              <w:bottom w:val="single" w:color="auto" w:sz="4" w:space="0"/>
              <w:right w:val="single" w:color="auto" w:sz="4" w:space="0"/>
            </w:tcBorders>
            <w:vAlign w:val="center"/>
          </w:tcPr>
          <w:p w14:paraId="09F02FA0">
            <w:pPr>
              <w:jc w:val="center"/>
              <w:rPr>
                <w:rFonts w:ascii="Times New Roman" w:hAnsi="Times New Roman" w:eastAsia="仿宋_GB2312"/>
                <w:kern w:val="0"/>
                <w:sz w:val="24"/>
                <w:szCs w:val="20"/>
              </w:rPr>
            </w:pPr>
            <w:r>
              <w:rPr>
                <w:rFonts w:hint="eastAsia" w:ascii="Times New Roman" w:hAnsi="Times New Roman" w:eastAsia="仿宋_GB2312"/>
                <w:kern w:val="0"/>
                <w:sz w:val="24"/>
                <w:szCs w:val="20"/>
              </w:rPr>
              <w:t>32</w:t>
            </w:r>
          </w:p>
        </w:tc>
        <w:tc>
          <w:tcPr>
            <w:tcW w:w="1159" w:type="dxa"/>
            <w:tcBorders>
              <w:top w:val="single" w:color="auto" w:sz="4" w:space="0"/>
              <w:left w:val="single" w:color="auto" w:sz="4" w:space="0"/>
              <w:bottom w:val="single" w:color="auto" w:sz="4" w:space="0"/>
              <w:right w:val="single" w:color="auto" w:sz="4" w:space="0"/>
            </w:tcBorders>
            <w:vAlign w:val="center"/>
          </w:tcPr>
          <w:p w14:paraId="4CFE7E6D">
            <w:pPr>
              <w:rPr>
                <w:rFonts w:ascii="Times New Roman" w:hAnsi="Times New Roman" w:eastAsia="仿宋_GB2312" w:cs="仿宋_GB2312"/>
                <w:kern w:val="0"/>
                <w:sz w:val="24"/>
                <w:szCs w:val="20"/>
              </w:rPr>
            </w:pPr>
            <w:r>
              <w:rPr>
                <w:rFonts w:hint="eastAsia" w:ascii="Times New Roman" w:hAnsi="Times New Roman" w:eastAsia="仿宋_GB2312" w:cs="仿宋_GB2312"/>
                <w:bCs/>
                <w:szCs w:val="21"/>
              </w:rPr>
              <w:t>第一学年第二学期</w:t>
            </w:r>
          </w:p>
        </w:tc>
        <w:tc>
          <w:tcPr>
            <w:tcW w:w="1337" w:type="dxa"/>
            <w:tcBorders>
              <w:top w:val="single" w:color="auto" w:sz="4" w:space="0"/>
              <w:left w:val="single" w:color="auto" w:sz="4" w:space="0"/>
              <w:bottom w:val="single" w:color="auto" w:sz="4" w:space="0"/>
              <w:right w:val="single" w:color="auto" w:sz="4" w:space="0"/>
            </w:tcBorders>
            <w:vAlign w:val="center"/>
          </w:tcPr>
          <w:p w14:paraId="4B922437">
            <w:pPr>
              <w:rPr>
                <w:rFonts w:ascii="Times New Roman" w:hAnsi="Times New Roman" w:eastAsia="仿宋_GB2312" w:cs="仿宋_GB2312"/>
                <w:bCs/>
                <w:szCs w:val="21"/>
              </w:rPr>
            </w:pPr>
            <w:r>
              <w:rPr>
                <w:rFonts w:hint="eastAsia" w:ascii="Times New Roman" w:hAnsi="Times New Roman" w:eastAsia="仿宋_GB2312" w:cs="仿宋_GB2312"/>
                <w:bCs/>
                <w:szCs w:val="21"/>
              </w:rPr>
              <w:t>线上、线下混合式教学</w:t>
            </w:r>
          </w:p>
        </w:tc>
      </w:tr>
      <w:tr w14:paraId="0E807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765" w:type="dxa"/>
            <w:tcBorders>
              <w:top w:val="single" w:color="auto" w:sz="4" w:space="0"/>
              <w:left w:val="single" w:color="auto" w:sz="4" w:space="0"/>
              <w:bottom w:val="single" w:color="auto" w:sz="4" w:space="0"/>
              <w:right w:val="single" w:color="auto" w:sz="4" w:space="0"/>
            </w:tcBorders>
            <w:vAlign w:val="center"/>
          </w:tcPr>
          <w:p w14:paraId="5162D487">
            <w:pPr>
              <w:jc w:val="center"/>
              <w:rPr>
                <w:rFonts w:ascii="Times New Roman" w:hAnsi="Times New Roman" w:eastAsia="仿宋_GB2312" w:cs="仿宋_GB2312"/>
                <w:kern w:val="0"/>
                <w:sz w:val="24"/>
                <w:szCs w:val="20"/>
              </w:rPr>
            </w:pPr>
            <w:r>
              <w:rPr>
                <w:rFonts w:hint="eastAsia" w:ascii="Times New Roman" w:hAnsi="Times New Roman" w:eastAsia="仿宋_GB2312" w:cs="仿宋_GB2312"/>
                <w:kern w:val="0"/>
                <w:szCs w:val="20"/>
              </w:rPr>
              <w:t>6</w:t>
            </w:r>
          </w:p>
        </w:tc>
        <w:tc>
          <w:tcPr>
            <w:tcW w:w="2375" w:type="dxa"/>
            <w:tcBorders>
              <w:top w:val="single" w:color="auto" w:sz="4" w:space="0"/>
              <w:left w:val="single" w:color="auto" w:sz="4" w:space="0"/>
              <w:bottom w:val="single" w:color="auto" w:sz="4" w:space="0"/>
              <w:right w:val="single" w:color="auto" w:sz="4" w:space="0"/>
            </w:tcBorders>
            <w:vAlign w:val="center"/>
          </w:tcPr>
          <w:p w14:paraId="057629E0">
            <w:pPr>
              <w:rPr>
                <w:rFonts w:ascii="Times New Roman" w:hAnsi="Times New Roman" w:eastAsia="仿宋_GB2312"/>
                <w:kern w:val="0"/>
                <w:sz w:val="24"/>
                <w:szCs w:val="20"/>
              </w:rPr>
            </w:pPr>
            <w:r>
              <w:rPr>
                <w:rFonts w:hint="eastAsia" w:ascii="Times New Roman" w:hAnsi="Times New Roman" w:eastAsia="仿宋_GB2312"/>
                <w:kern w:val="0"/>
                <w:sz w:val="24"/>
                <w:szCs w:val="20"/>
              </w:rPr>
              <w:t>《</w:t>
            </w:r>
            <w:r>
              <w:rPr>
                <w:rFonts w:ascii="Times New Roman" w:hAnsi="Times New Roman" w:eastAsia="仿宋_GB2312"/>
                <w:kern w:val="0"/>
                <w:sz w:val="24"/>
                <w:szCs w:val="20"/>
              </w:rPr>
              <w:t>智能设备数字孪生建模与虚拟调试</w:t>
            </w:r>
            <w:r>
              <w:rPr>
                <w:rFonts w:hint="eastAsia" w:ascii="Times New Roman" w:hAnsi="Times New Roman" w:eastAsia="仿宋_GB2312"/>
                <w:kern w:val="0"/>
                <w:sz w:val="24"/>
                <w:szCs w:val="20"/>
              </w:rPr>
              <w:t>》</w:t>
            </w:r>
          </w:p>
        </w:tc>
        <w:tc>
          <w:tcPr>
            <w:tcW w:w="610" w:type="dxa"/>
            <w:tcBorders>
              <w:top w:val="single" w:color="auto" w:sz="4" w:space="0"/>
              <w:left w:val="single" w:color="auto" w:sz="4" w:space="0"/>
              <w:bottom w:val="single" w:color="auto" w:sz="4" w:space="0"/>
              <w:right w:val="single" w:color="auto" w:sz="4" w:space="0"/>
            </w:tcBorders>
            <w:vAlign w:val="center"/>
          </w:tcPr>
          <w:p w14:paraId="7777C824">
            <w:pPr>
              <w:jc w:val="center"/>
              <w:rPr>
                <w:rFonts w:ascii="Times New Roman" w:hAnsi="Times New Roman" w:eastAsia="仿宋_GB2312"/>
                <w:kern w:val="0"/>
                <w:sz w:val="24"/>
                <w:szCs w:val="20"/>
              </w:rPr>
            </w:pPr>
            <w:r>
              <w:rPr>
                <w:rFonts w:hint="eastAsia" w:ascii="Times New Roman" w:hAnsi="Times New Roman" w:eastAsia="仿宋_GB2312"/>
                <w:kern w:val="0"/>
                <w:sz w:val="24"/>
                <w:szCs w:val="20"/>
              </w:rPr>
              <w:t>3</w:t>
            </w:r>
          </w:p>
        </w:tc>
        <w:tc>
          <w:tcPr>
            <w:tcW w:w="969" w:type="dxa"/>
            <w:tcBorders>
              <w:top w:val="single" w:color="auto" w:sz="4" w:space="0"/>
              <w:left w:val="single" w:color="auto" w:sz="4" w:space="0"/>
              <w:bottom w:val="single" w:color="auto" w:sz="4" w:space="0"/>
              <w:right w:val="single" w:color="auto" w:sz="4" w:space="0"/>
            </w:tcBorders>
            <w:vAlign w:val="center"/>
          </w:tcPr>
          <w:p w14:paraId="65E46078">
            <w:pPr>
              <w:jc w:val="center"/>
              <w:rPr>
                <w:rFonts w:ascii="Times New Roman" w:hAnsi="Times New Roman" w:eastAsia="仿宋_GB2312"/>
                <w:kern w:val="0"/>
                <w:sz w:val="24"/>
                <w:szCs w:val="20"/>
              </w:rPr>
            </w:pPr>
            <w:r>
              <w:rPr>
                <w:rFonts w:hint="eastAsia" w:ascii="Times New Roman" w:hAnsi="Times New Roman" w:eastAsia="仿宋_GB2312"/>
                <w:kern w:val="0"/>
                <w:sz w:val="24"/>
                <w:szCs w:val="20"/>
              </w:rPr>
              <w:t>48</w:t>
            </w:r>
          </w:p>
        </w:tc>
        <w:tc>
          <w:tcPr>
            <w:tcW w:w="1159" w:type="dxa"/>
            <w:tcBorders>
              <w:top w:val="single" w:color="auto" w:sz="4" w:space="0"/>
              <w:left w:val="single" w:color="auto" w:sz="4" w:space="0"/>
              <w:bottom w:val="single" w:color="auto" w:sz="4" w:space="0"/>
              <w:right w:val="single" w:color="auto" w:sz="4" w:space="0"/>
            </w:tcBorders>
            <w:vAlign w:val="center"/>
          </w:tcPr>
          <w:p w14:paraId="13F8C35F">
            <w:pPr>
              <w:rPr>
                <w:rFonts w:ascii="Times New Roman" w:hAnsi="Times New Roman" w:eastAsia="仿宋_GB2312" w:cs="仿宋_GB2312"/>
                <w:kern w:val="0"/>
                <w:sz w:val="24"/>
                <w:szCs w:val="20"/>
              </w:rPr>
            </w:pPr>
            <w:r>
              <w:rPr>
                <w:rFonts w:hint="eastAsia" w:ascii="Times New Roman" w:hAnsi="Times New Roman" w:eastAsia="仿宋_GB2312" w:cs="仿宋_GB2312"/>
                <w:bCs/>
                <w:szCs w:val="21"/>
              </w:rPr>
              <w:t>第一学年第二学期</w:t>
            </w:r>
          </w:p>
        </w:tc>
        <w:tc>
          <w:tcPr>
            <w:tcW w:w="1337" w:type="dxa"/>
            <w:tcBorders>
              <w:top w:val="single" w:color="auto" w:sz="4" w:space="0"/>
              <w:left w:val="single" w:color="auto" w:sz="4" w:space="0"/>
              <w:bottom w:val="single" w:color="auto" w:sz="4" w:space="0"/>
              <w:right w:val="single" w:color="auto" w:sz="4" w:space="0"/>
            </w:tcBorders>
            <w:vAlign w:val="center"/>
          </w:tcPr>
          <w:p w14:paraId="26E3D201">
            <w:pPr>
              <w:rPr>
                <w:rFonts w:ascii="Times New Roman" w:hAnsi="Times New Roman" w:eastAsia="仿宋_GB2312" w:cs="仿宋_GB2312"/>
                <w:bCs/>
                <w:szCs w:val="21"/>
              </w:rPr>
            </w:pPr>
            <w:r>
              <w:rPr>
                <w:rFonts w:hint="eastAsia" w:ascii="Times New Roman" w:hAnsi="Times New Roman" w:eastAsia="仿宋_GB2312" w:cs="仿宋_GB2312"/>
                <w:bCs/>
                <w:szCs w:val="21"/>
              </w:rPr>
              <w:t>线上、线下混合式教学</w:t>
            </w:r>
          </w:p>
        </w:tc>
      </w:tr>
      <w:tr w14:paraId="75209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3140" w:type="dxa"/>
            <w:gridSpan w:val="2"/>
            <w:tcBorders>
              <w:top w:val="single" w:color="auto" w:sz="4" w:space="0"/>
              <w:left w:val="single" w:color="auto" w:sz="4" w:space="0"/>
              <w:bottom w:val="single" w:color="auto" w:sz="4" w:space="0"/>
              <w:right w:val="single" w:color="auto" w:sz="4" w:space="0"/>
            </w:tcBorders>
            <w:vAlign w:val="center"/>
          </w:tcPr>
          <w:p w14:paraId="0F8AAA28">
            <w:pPr>
              <w:jc w:val="center"/>
              <w:rPr>
                <w:rFonts w:ascii="Times New Roman" w:hAnsi="Times New Roman" w:eastAsia="仿宋_GB2312" w:cs="仿宋_GB2312"/>
                <w:kern w:val="0"/>
                <w:sz w:val="24"/>
                <w:szCs w:val="20"/>
              </w:rPr>
            </w:pPr>
            <w:r>
              <w:rPr>
                <w:rFonts w:hint="eastAsia" w:ascii="Times New Roman" w:hAnsi="Times New Roman" w:eastAsia="仿宋_GB2312" w:cs="仿宋_GB2312"/>
                <w:kern w:val="0"/>
                <w:szCs w:val="20"/>
              </w:rPr>
              <w:t>合计</w:t>
            </w:r>
          </w:p>
        </w:tc>
        <w:tc>
          <w:tcPr>
            <w:tcW w:w="610" w:type="dxa"/>
            <w:tcBorders>
              <w:top w:val="single" w:color="auto" w:sz="4" w:space="0"/>
              <w:left w:val="single" w:color="auto" w:sz="4" w:space="0"/>
              <w:bottom w:val="single" w:color="auto" w:sz="4" w:space="0"/>
              <w:right w:val="single" w:color="auto" w:sz="4" w:space="0"/>
            </w:tcBorders>
            <w:vAlign w:val="center"/>
          </w:tcPr>
          <w:p w14:paraId="6746D826">
            <w:pPr>
              <w:jc w:val="center"/>
              <w:rPr>
                <w:rFonts w:ascii="Times New Roman" w:hAnsi="Times New Roman" w:eastAsia="仿宋_GB2312" w:cs="仿宋_GB2312"/>
                <w:kern w:val="0"/>
                <w:sz w:val="24"/>
                <w:szCs w:val="20"/>
              </w:rPr>
            </w:pPr>
            <w:r>
              <w:rPr>
                <w:rFonts w:hint="eastAsia" w:ascii="Times New Roman" w:hAnsi="Times New Roman" w:eastAsia="仿宋_GB2312" w:cs="仿宋_GB2312"/>
                <w:kern w:val="0"/>
                <w:szCs w:val="20"/>
              </w:rPr>
              <w:t>12</w:t>
            </w:r>
          </w:p>
        </w:tc>
        <w:tc>
          <w:tcPr>
            <w:tcW w:w="969" w:type="dxa"/>
            <w:tcBorders>
              <w:top w:val="single" w:color="auto" w:sz="4" w:space="0"/>
              <w:left w:val="single" w:color="auto" w:sz="4" w:space="0"/>
              <w:bottom w:val="single" w:color="auto" w:sz="4" w:space="0"/>
              <w:right w:val="single" w:color="auto" w:sz="4" w:space="0"/>
            </w:tcBorders>
            <w:vAlign w:val="center"/>
          </w:tcPr>
          <w:p w14:paraId="3959BF25">
            <w:pPr>
              <w:jc w:val="center"/>
              <w:rPr>
                <w:rFonts w:ascii="Times New Roman" w:hAnsi="Times New Roman" w:eastAsia="仿宋_GB2312" w:cs="仿宋_GB2312"/>
                <w:kern w:val="0"/>
                <w:sz w:val="24"/>
                <w:szCs w:val="20"/>
              </w:rPr>
            </w:pPr>
            <w:r>
              <w:rPr>
                <w:rFonts w:hint="eastAsia" w:ascii="Times New Roman" w:hAnsi="Times New Roman" w:eastAsia="仿宋_GB2312" w:cs="仿宋_GB2312"/>
                <w:kern w:val="0"/>
                <w:szCs w:val="20"/>
              </w:rPr>
              <w:t>192</w:t>
            </w:r>
          </w:p>
        </w:tc>
        <w:tc>
          <w:tcPr>
            <w:tcW w:w="1159" w:type="dxa"/>
            <w:tcBorders>
              <w:top w:val="single" w:color="auto" w:sz="4" w:space="0"/>
              <w:left w:val="single" w:color="auto" w:sz="4" w:space="0"/>
              <w:bottom w:val="single" w:color="auto" w:sz="4" w:space="0"/>
              <w:right w:val="single" w:color="auto" w:sz="4" w:space="0"/>
            </w:tcBorders>
            <w:vAlign w:val="center"/>
          </w:tcPr>
          <w:p w14:paraId="5D863516">
            <w:pPr>
              <w:jc w:val="center"/>
              <w:rPr>
                <w:rFonts w:ascii="Times New Roman" w:hAnsi="Times New Roman" w:eastAsia="仿宋_GB2312"/>
                <w:kern w:val="0"/>
                <w:sz w:val="24"/>
                <w:szCs w:val="20"/>
              </w:rPr>
            </w:pPr>
            <w:r>
              <w:rPr>
                <w:rFonts w:hint="eastAsia" w:ascii="Times New Roman" w:hAnsi="Times New Roman" w:eastAsia="仿宋_GB2312" w:cs="仿宋_GB2312"/>
                <w:kern w:val="0"/>
                <w:szCs w:val="20"/>
              </w:rPr>
              <w:t>-</w:t>
            </w:r>
          </w:p>
        </w:tc>
        <w:tc>
          <w:tcPr>
            <w:tcW w:w="1337" w:type="dxa"/>
            <w:tcBorders>
              <w:top w:val="single" w:color="auto" w:sz="4" w:space="0"/>
              <w:left w:val="single" w:color="auto" w:sz="4" w:space="0"/>
              <w:bottom w:val="single" w:color="auto" w:sz="4" w:space="0"/>
              <w:right w:val="single" w:color="auto" w:sz="4" w:space="0"/>
            </w:tcBorders>
            <w:vAlign w:val="center"/>
          </w:tcPr>
          <w:p w14:paraId="4559133F">
            <w:pPr>
              <w:widowControl/>
              <w:jc w:val="center"/>
              <w:rPr>
                <w:rFonts w:ascii="Times New Roman" w:hAnsi="Times New Roman" w:eastAsia="仿宋_GB2312" w:cs="仿宋_GB2312"/>
                <w:b/>
                <w:spacing w:val="20"/>
                <w:sz w:val="18"/>
                <w:szCs w:val="18"/>
              </w:rPr>
            </w:pPr>
            <w:bookmarkStart w:id="8" w:name="OLE_LINK52"/>
            <w:bookmarkStart w:id="9" w:name="OLE_LINK51"/>
            <w:r>
              <w:rPr>
                <w:rFonts w:hint="eastAsia" w:ascii="Times New Roman" w:hAnsi="Times New Roman" w:eastAsia="仿宋_GB2312" w:cs="仿宋_GB2312"/>
                <w:kern w:val="0"/>
                <w:szCs w:val="20"/>
              </w:rPr>
              <w:t>-</w:t>
            </w:r>
            <w:bookmarkEnd w:id="8"/>
            <w:bookmarkEnd w:id="9"/>
          </w:p>
        </w:tc>
      </w:tr>
    </w:tbl>
    <w:p w14:paraId="735FBE92"/>
    <w:p w14:paraId="77293D2B">
      <w:pPr>
        <w:widowControl/>
        <w:shd w:val="clear" w:color="auto" w:fill="FFFFFF"/>
        <w:spacing w:line="560" w:lineRule="exact"/>
        <w:ind w:firstLine="562" w:firstLineChars="200"/>
        <w:jc w:val="left"/>
        <w:rPr>
          <w:rFonts w:ascii="仿宋_GB2312" w:hAnsi="仿宋_GB2312" w:eastAsia="仿宋_GB2312" w:cs="仿宋_GB2312"/>
          <w:b/>
          <w:bCs/>
          <w:color w:val="0F1115"/>
          <w:kern w:val="0"/>
          <w:sz w:val="28"/>
          <w:szCs w:val="28"/>
        </w:rPr>
      </w:pPr>
      <w:r>
        <w:rPr>
          <w:rFonts w:hint="eastAsia" w:ascii="仿宋_GB2312" w:hAnsi="仿宋_GB2312" w:eastAsia="仿宋_GB2312" w:cs="仿宋_GB2312"/>
          <w:b/>
          <w:bCs/>
          <w:color w:val="0F1115"/>
          <w:kern w:val="0"/>
          <w:sz w:val="28"/>
          <w:szCs w:val="28"/>
        </w:rPr>
        <w:t>2.</w:t>
      </w:r>
      <w:r>
        <w:rPr>
          <w:rFonts w:ascii="仿宋_GB2312" w:hAnsi="仿宋_GB2312" w:eastAsia="仿宋_GB2312" w:cs="仿宋_GB2312"/>
          <w:b/>
          <w:bCs/>
          <w:color w:val="0F1115"/>
          <w:kern w:val="0"/>
          <w:sz w:val="28"/>
          <w:szCs w:val="28"/>
        </w:rPr>
        <w:t>课程特色</w:t>
      </w:r>
    </w:p>
    <w:p w14:paraId="41CBD266">
      <w:pPr>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三层递进体系：</w:t>
      </w:r>
      <w:r>
        <w:rPr>
          <w:rFonts w:ascii="仿宋_GB2312" w:hAnsi="仿宋_GB2312" w:eastAsia="仿宋_GB2312" w:cs="仿宋_GB2312"/>
          <w:sz w:val="28"/>
          <w:szCs w:val="28"/>
        </w:rPr>
        <w:t>课程按“基础理论—核心技术—实践应用”分层设计，首学期夯实AI与PLC基础，次学期深入感知与建模技术，最终通过综合训练实现项目全流程实操。</w:t>
      </w:r>
    </w:p>
    <w:p w14:paraId="7AD62207">
      <w:pPr>
        <w:ind w:firstLine="562" w:firstLineChars="200"/>
      </w:pPr>
      <w:r>
        <w:rPr>
          <w:rFonts w:ascii="仿宋_GB2312" w:hAnsi="仿宋_GB2312" w:eastAsia="仿宋_GB2312" w:cs="仿宋_GB2312"/>
          <w:b/>
          <w:bCs/>
          <w:sz w:val="28"/>
          <w:szCs w:val="28"/>
        </w:rPr>
        <w:t>理论实践融合：</w:t>
      </w:r>
      <w:r>
        <w:rPr>
          <w:rFonts w:ascii="仿宋_GB2312" w:hAnsi="仿宋_GB2312" w:eastAsia="仿宋_GB2312" w:cs="仿宋_GB2312"/>
          <w:sz w:val="28"/>
          <w:szCs w:val="28"/>
        </w:rPr>
        <w:t>每门课程实验/实操学时占比高，依托智能装备实验室、工业机器人实训中心等平台，开展硬件实操与虚拟仿真结合的实训教学。</w:t>
      </w:r>
    </w:p>
    <w:p w14:paraId="5C881439">
      <w:pPr>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项目真实驱动：</w:t>
      </w:r>
      <w:r>
        <w:rPr>
          <w:rFonts w:ascii="仿宋_GB2312" w:hAnsi="仿宋_GB2312" w:eastAsia="仿宋_GB2312" w:cs="仿宋_GB2312"/>
          <w:sz w:val="28"/>
          <w:szCs w:val="28"/>
        </w:rPr>
        <w:t>课程内容深度对接产业需求，嵌入企业真实案例，综合训练环节以智能制造实际项目为载体，培养解决复杂工程问题的能力。</w:t>
      </w:r>
    </w:p>
    <w:p w14:paraId="61AB4EBD">
      <w:pPr>
        <w:widowControl/>
        <w:shd w:val="clear" w:color="auto" w:fill="FFFFFF"/>
        <w:spacing w:line="560" w:lineRule="exact"/>
        <w:ind w:firstLine="600" w:firstLineChars="200"/>
        <w:jc w:val="left"/>
        <w:outlineLvl w:val="1"/>
        <w:rPr>
          <w:rFonts w:ascii="黑体" w:hAnsi="黑体" w:eastAsia="黑体" w:cs="微软雅黑"/>
          <w:color w:val="0F1115"/>
          <w:kern w:val="0"/>
          <w:sz w:val="30"/>
          <w:szCs w:val="30"/>
        </w:rPr>
      </w:pPr>
      <w:r>
        <w:rPr>
          <w:rFonts w:ascii="黑体" w:hAnsi="黑体" w:eastAsia="黑体" w:cs="微软雅黑"/>
          <w:color w:val="0F1115"/>
          <w:kern w:val="0"/>
          <w:sz w:val="30"/>
          <w:szCs w:val="30"/>
        </w:rPr>
        <w:t>五、师资力量</w:t>
      </w:r>
    </w:p>
    <w:p w14:paraId="2581F7F7">
      <w:pPr>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授课团队由机械工程学院与电气与信息工程学院跨学科骨干教师组成，共</w:t>
      </w:r>
      <w:r>
        <w:rPr>
          <w:rFonts w:hint="eastAsia" w:ascii="仿宋_GB2312" w:hAnsi="仿宋_GB2312" w:eastAsia="仿宋_GB2312" w:cs="仿宋_GB2312"/>
          <w:sz w:val="28"/>
          <w:szCs w:val="28"/>
        </w:rPr>
        <w:t>16</w:t>
      </w:r>
      <w:r>
        <w:rPr>
          <w:rFonts w:ascii="仿宋_GB2312" w:hAnsi="仿宋_GB2312" w:eastAsia="仿宋_GB2312" w:cs="仿宋_GB2312"/>
          <w:sz w:val="28"/>
          <w:szCs w:val="28"/>
        </w:rPr>
        <w:t>人，其中教授</w:t>
      </w:r>
      <w:r>
        <w:rPr>
          <w:rFonts w:hint="eastAsia" w:ascii="仿宋_GB2312" w:hAnsi="仿宋_GB2312" w:eastAsia="仿宋_GB2312" w:cs="仿宋_GB2312"/>
          <w:sz w:val="28"/>
          <w:szCs w:val="28"/>
        </w:rPr>
        <w:t>5</w:t>
      </w:r>
      <w:r>
        <w:rPr>
          <w:rFonts w:ascii="仿宋_GB2312" w:hAnsi="仿宋_GB2312" w:eastAsia="仿宋_GB2312" w:cs="仿宋_GB2312"/>
          <w:sz w:val="28"/>
          <w:szCs w:val="28"/>
        </w:rPr>
        <w:t>人、副教授</w:t>
      </w:r>
      <w:r>
        <w:rPr>
          <w:rFonts w:hint="eastAsia" w:ascii="仿宋_GB2312" w:hAnsi="仿宋_GB2312" w:eastAsia="仿宋_GB2312" w:cs="仿宋_GB2312"/>
          <w:sz w:val="28"/>
          <w:szCs w:val="28"/>
        </w:rPr>
        <w:t>8</w:t>
      </w:r>
      <w:r>
        <w:rPr>
          <w:rFonts w:ascii="仿宋_GB2312" w:hAnsi="仿宋_GB2312" w:eastAsia="仿宋_GB2312" w:cs="仿宋_GB2312"/>
          <w:sz w:val="28"/>
          <w:szCs w:val="28"/>
        </w:rPr>
        <w:t>人，博士学历占比</w:t>
      </w:r>
      <w:r>
        <w:rPr>
          <w:rFonts w:hint="eastAsia" w:ascii="仿宋_GB2312" w:hAnsi="仿宋_GB2312" w:eastAsia="仿宋_GB2312" w:cs="仿宋_GB2312"/>
          <w:sz w:val="28"/>
          <w:szCs w:val="28"/>
        </w:rPr>
        <w:t>87.5</w:t>
      </w:r>
      <w:r>
        <w:rPr>
          <w:rFonts w:ascii="仿宋_GB2312" w:hAnsi="仿宋_GB2312" w:eastAsia="仿宋_GB2312" w:cs="仿宋_GB2312"/>
          <w:sz w:val="28"/>
          <w:szCs w:val="28"/>
        </w:rPr>
        <w:t>%，1</w:t>
      </w:r>
      <w:r>
        <w:rPr>
          <w:rFonts w:hint="eastAsia" w:ascii="仿宋_GB2312" w:hAnsi="仿宋_GB2312" w:eastAsia="仿宋_GB2312" w:cs="仿宋_GB2312"/>
          <w:sz w:val="28"/>
          <w:szCs w:val="28"/>
        </w:rPr>
        <w:t>4</w:t>
      </w:r>
      <w:r>
        <w:rPr>
          <w:rFonts w:ascii="仿宋_GB2312" w:hAnsi="仿宋_GB2312" w:eastAsia="仿宋_GB2312" w:cs="仿宋_GB2312"/>
          <w:sz w:val="28"/>
          <w:szCs w:val="28"/>
        </w:rPr>
        <w:t>人具备企业研发或项目实战经验。团队聘请5名行业专家担任兼职导师，形成“校内骨干深耕理论+行业专家聚焦实操”的双师型教学队伍。近5年团队成员获浙江省教学成果二等奖2项，主持国家级一流课程1门、省级一流课程5门，教科研实力雄厚，教学与产业实践深度融合。</w:t>
      </w:r>
    </w:p>
    <w:p w14:paraId="3E5FB345">
      <w:pPr>
        <w:widowControl/>
        <w:shd w:val="clear" w:color="auto" w:fill="FFFFFF"/>
        <w:spacing w:line="560" w:lineRule="exact"/>
        <w:ind w:firstLine="600" w:firstLineChars="200"/>
        <w:jc w:val="left"/>
        <w:outlineLvl w:val="1"/>
        <w:rPr>
          <w:rFonts w:ascii="黑体" w:hAnsi="黑体" w:eastAsia="黑体" w:cs="微软雅黑"/>
          <w:color w:val="0F1115"/>
          <w:kern w:val="0"/>
          <w:sz w:val="30"/>
          <w:szCs w:val="30"/>
        </w:rPr>
      </w:pPr>
      <w:r>
        <w:rPr>
          <w:rFonts w:ascii="黑体" w:hAnsi="黑体" w:eastAsia="黑体" w:cs="微软雅黑"/>
          <w:color w:val="0F1115"/>
          <w:kern w:val="0"/>
          <w:sz w:val="30"/>
          <w:szCs w:val="30"/>
        </w:rPr>
        <w:t>六、核心优势与亮点</w:t>
      </w:r>
    </w:p>
    <w:p w14:paraId="31F5A9CE">
      <w:pPr>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跨学科协同：</w:t>
      </w:r>
      <w:r>
        <w:rPr>
          <w:rFonts w:ascii="仿宋_GB2312" w:hAnsi="仿宋_GB2312" w:eastAsia="仿宋_GB2312" w:cs="仿宋_GB2312"/>
          <w:sz w:val="28"/>
          <w:szCs w:val="28"/>
        </w:rPr>
        <w:t>打破学院壁垒，整合机械设计、电气控制、信息感知等优质资源，构建“机械+电气+信息”技术融合体系，突破单一学科培养局限。</w:t>
      </w:r>
    </w:p>
    <w:p w14:paraId="683609EB">
      <w:pPr>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产教精准对接：</w:t>
      </w:r>
      <w:r>
        <w:rPr>
          <w:rFonts w:ascii="仿宋_GB2312" w:hAnsi="仿宋_GB2312" w:eastAsia="仿宋_GB2312" w:cs="仿宋_GB2312"/>
          <w:sz w:val="28"/>
          <w:szCs w:val="28"/>
        </w:rPr>
        <w:t>紧扣长三角智能制造产业需求，衔接工信部数字技术工程师职业标准，引入企业真实项目与技术标准，实现人才培养与岗位需求零距离对接。</w:t>
      </w:r>
    </w:p>
    <w:p w14:paraId="0AE65566">
      <w:pPr>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实战能力突出：</w:t>
      </w:r>
      <w:r>
        <w:rPr>
          <w:rFonts w:ascii="仿宋_GB2312" w:hAnsi="仿宋_GB2312" w:eastAsia="仿宋_GB2312" w:cs="仿宋_GB2312"/>
          <w:sz w:val="28"/>
          <w:szCs w:val="28"/>
        </w:rPr>
        <w:t>依托超</w:t>
      </w:r>
      <w:r>
        <w:rPr>
          <w:rFonts w:hint="eastAsia" w:ascii="仿宋_GB2312" w:hAnsi="仿宋_GB2312" w:eastAsia="仿宋_GB2312" w:cs="仿宋_GB2312"/>
          <w:sz w:val="28"/>
          <w:szCs w:val="28"/>
        </w:rPr>
        <w:t>5</w:t>
      </w:r>
      <w:r>
        <w:rPr>
          <w:rFonts w:ascii="仿宋_GB2312" w:hAnsi="仿宋_GB2312" w:eastAsia="仿宋_GB2312" w:cs="仿宋_GB2312"/>
          <w:sz w:val="28"/>
          <w:szCs w:val="28"/>
        </w:rPr>
        <w:t>00万元的虚实融合实训平台，通过三级实践体系强化实操训练，毕业生核心能力覆盖智能装备开发、数字孪生建模等关键岗位需求。</w:t>
      </w:r>
    </w:p>
    <w:p w14:paraId="62B1D4EF">
      <w:pPr>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职业资格衔接：</w:t>
      </w:r>
      <w:r>
        <w:rPr>
          <w:rFonts w:ascii="仿宋_GB2312" w:hAnsi="仿宋_GB2312" w:eastAsia="仿宋_GB2312" w:cs="仿宋_GB2312"/>
          <w:sz w:val="28"/>
          <w:szCs w:val="28"/>
        </w:rPr>
        <w:t>课程内容适配数字技术工程师职业等级评价要求，助力学生考取相关职业技能证书，提升就业认可度与职业发展空间。</w:t>
      </w:r>
    </w:p>
    <w:p w14:paraId="3F9618A9">
      <w:pPr>
        <w:widowControl/>
        <w:shd w:val="clear" w:color="auto" w:fill="FFFFFF"/>
        <w:spacing w:line="560" w:lineRule="exact"/>
        <w:ind w:firstLine="600" w:firstLineChars="200"/>
        <w:jc w:val="left"/>
        <w:outlineLvl w:val="1"/>
        <w:rPr>
          <w:rFonts w:ascii="黑体" w:hAnsi="黑体" w:eastAsia="黑体" w:cs="微软雅黑"/>
          <w:color w:val="0F1115"/>
          <w:kern w:val="0"/>
          <w:sz w:val="30"/>
          <w:szCs w:val="30"/>
        </w:rPr>
      </w:pPr>
      <w:r>
        <w:rPr>
          <w:rFonts w:ascii="黑体" w:hAnsi="黑体" w:eastAsia="黑体" w:cs="微软雅黑"/>
          <w:color w:val="0F1115"/>
          <w:kern w:val="0"/>
          <w:sz w:val="30"/>
          <w:szCs w:val="30"/>
        </w:rPr>
        <w:t>七、报名与咨询</w:t>
      </w:r>
    </w:p>
    <w:p w14:paraId="2B54A49D">
      <w:pPr>
        <w:ind w:firstLine="562" w:firstLineChars="200"/>
      </w:pPr>
      <w:r>
        <w:rPr>
          <w:rFonts w:ascii="仿宋_GB2312" w:hAnsi="仿宋_GB2312" w:eastAsia="仿宋_GB2312" w:cs="仿宋_GB2312"/>
          <w:b/>
          <w:bCs/>
          <w:sz w:val="28"/>
          <w:szCs w:val="28"/>
        </w:rPr>
        <w:t>招生对象：</w:t>
      </w:r>
      <w:r>
        <w:rPr>
          <w:rFonts w:ascii="仿宋_GB2312" w:hAnsi="仿宋_GB2312" w:eastAsia="仿宋_GB2312" w:cs="仿宋_GB2312"/>
          <w:sz w:val="28"/>
          <w:szCs w:val="28"/>
        </w:rPr>
        <w:t>全校二、三年级本科生（无前置课程要求）</w:t>
      </w:r>
    </w:p>
    <w:p w14:paraId="4C284686">
      <w:pPr>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招生规模：</w:t>
      </w:r>
      <w:r>
        <w:rPr>
          <w:rFonts w:ascii="仿宋_GB2312" w:hAnsi="仿宋_GB2312" w:eastAsia="仿宋_GB2312" w:cs="仿宋_GB2312"/>
          <w:sz w:val="28"/>
          <w:szCs w:val="28"/>
        </w:rPr>
        <w:t>每届</w:t>
      </w:r>
      <w:r>
        <w:rPr>
          <w:rFonts w:hint="eastAsia" w:ascii="仿宋_GB2312" w:hAnsi="仿宋_GB2312" w:eastAsia="仿宋_GB2312" w:cs="仿宋_GB2312"/>
          <w:sz w:val="28"/>
          <w:szCs w:val="28"/>
          <w:lang w:val="en-US" w:eastAsia="zh-CN"/>
        </w:rPr>
        <w:t>15</w:t>
      </w:r>
      <w:bookmarkStart w:id="10" w:name="_GoBack"/>
      <w:bookmarkEnd w:id="10"/>
      <w:r>
        <w:rPr>
          <w:rFonts w:ascii="仿宋_GB2312" w:hAnsi="仿宋_GB2312" w:eastAsia="仿宋_GB2312" w:cs="仿宋_GB2312"/>
          <w:sz w:val="28"/>
          <w:szCs w:val="28"/>
        </w:rPr>
        <w:t>人</w:t>
      </w:r>
    </w:p>
    <w:p w14:paraId="5EBA6B89">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color w:val="0F1115"/>
          <w:kern w:val="0"/>
          <w:sz w:val="28"/>
          <w:szCs w:val="28"/>
        </w:rPr>
        <w:drawing>
          <wp:anchor distT="0" distB="0" distL="114935" distR="114935" simplePos="0" relativeHeight="251659264" behindDoc="0" locked="0" layoutInCell="1" allowOverlap="1">
            <wp:simplePos x="0" y="0"/>
            <wp:positionH relativeFrom="column">
              <wp:posOffset>1603375</wp:posOffset>
            </wp:positionH>
            <wp:positionV relativeFrom="paragraph">
              <wp:posOffset>1238885</wp:posOffset>
            </wp:positionV>
            <wp:extent cx="2205990" cy="2569210"/>
            <wp:effectExtent l="0" t="0" r="3810" b="2540"/>
            <wp:wrapTopAndBottom/>
            <wp:docPr id="1" name="图片 1" descr="64E9334E-823B-4957-A3FD-A8BC66773D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4E9334E-823B-4957-A3FD-A8BC66773D3A"/>
                    <pic:cNvPicPr>
                      <a:picLocks noChangeAspect="1"/>
                    </pic:cNvPicPr>
                  </pic:nvPicPr>
                  <pic:blipFill>
                    <a:blip r:embed="rId4"/>
                    <a:stretch>
                      <a:fillRect/>
                    </a:stretch>
                  </pic:blipFill>
                  <pic:spPr>
                    <a:xfrm>
                      <a:off x="0" y="0"/>
                      <a:ext cx="2205990" cy="2569210"/>
                    </a:xfrm>
                    <a:prstGeom prst="rect">
                      <a:avLst/>
                    </a:prstGeom>
                  </pic:spPr>
                </pic:pic>
              </a:graphicData>
            </a:graphic>
          </wp:anchor>
        </w:drawing>
      </w:r>
      <w:r>
        <w:rPr>
          <w:rFonts w:ascii="仿宋_GB2312" w:hAnsi="仿宋_GB2312" w:eastAsia="仿宋_GB2312" w:cs="仿宋_GB2312"/>
          <w:b/>
          <w:bCs/>
          <w:sz w:val="28"/>
          <w:szCs w:val="28"/>
        </w:rPr>
        <w:t>报名方式：</w:t>
      </w:r>
      <w:r>
        <w:rPr>
          <w:rFonts w:ascii="仿宋_GB2312" w:hAnsi="仿宋_GB2312" w:eastAsia="仿宋_GB2312" w:cs="仿宋_GB2312"/>
          <w:sz w:val="28"/>
          <w:szCs w:val="28"/>
        </w:rPr>
        <w:t>请关注学校教务处通知及机械工程学院官网，按要求提交报名材料，采用“学业筛选+兴趣面试”双重选拔方式。</w:t>
      </w:r>
      <w:r>
        <w:rPr>
          <w:rFonts w:hint="eastAsia" w:ascii="仿宋_GB2312" w:hAnsi="仿宋_GB2312" w:eastAsia="仿宋_GB2312" w:cs="仿宋_GB2312"/>
          <w:sz w:val="28"/>
          <w:szCs w:val="28"/>
        </w:rPr>
        <w:t>如需进一步关注，请加入钉钉群，后续课程相关信息会在群内公布。</w:t>
      </w:r>
    </w:p>
    <w:p w14:paraId="7CBB5458">
      <w:pPr>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咨询联系：</w:t>
      </w:r>
      <w:r>
        <w:rPr>
          <w:rFonts w:hint="eastAsia" w:ascii="仿宋_GB2312" w:hAnsi="仿宋_GB2312" w:eastAsia="仿宋_GB2312" w:cs="仿宋_GB2312"/>
          <w:sz w:val="28"/>
          <w:szCs w:val="28"/>
        </w:rPr>
        <w:t>陈</w:t>
      </w:r>
      <w:r>
        <w:rPr>
          <w:rFonts w:ascii="仿宋_GB2312" w:hAnsi="仿宋_GB2312" w:eastAsia="仿宋_GB2312" w:cs="仿宋_GB2312"/>
          <w:sz w:val="28"/>
          <w:szCs w:val="28"/>
        </w:rPr>
        <w:t>老师</w:t>
      </w:r>
      <w:r>
        <w:rPr>
          <w:rFonts w:hint="eastAsia" w:ascii="仿宋_GB2312" w:hAnsi="仿宋_GB2312" w:eastAsia="仿宋_GB2312" w:cs="仿宋_GB2312"/>
          <w:sz w:val="28"/>
          <w:szCs w:val="28"/>
        </w:rPr>
        <w:t>0570-8026632</w:t>
      </w:r>
    </w:p>
    <w:p w14:paraId="38200B65">
      <w:pPr>
        <w:ind w:firstLine="560" w:firstLineChars="200"/>
      </w:pPr>
      <w:r>
        <w:rPr>
          <w:rFonts w:ascii="仿宋_GB2312" w:hAnsi="仿宋_GB2312" w:eastAsia="仿宋_GB2312" w:cs="仿宋_GB2312"/>
          <w:sz w:val="28"/>
          <w:szCs w:val="28"/>
        </w:rPr>
        <w:t>欢迎加入智能装备与数字孪生技术微专业，解锁“智能+虚拟”跨界技能，赋能职业发展新未来！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A00"/>
    <w:rsid w:val="00000695"/>
    <w:rsid w:val="00016871"/>
    <w:rsid w:val="000237DD"/>
    <w:rsid w:val="00075737"/>
    <w:rsid w:val="00077BFD"/>
    <w:rsid w:val="000921BD"/>
    <w:rsid w:val="000B3492"/>
    <w:rsid w:val="000F5DDC"/>
    <w:rsid w:val="000F64BC"/>
    <w:rsid w:val="00102E84"/>
    <w:rsid w:val="001116CC"/>
    <w:rsid w:val="00143E90"/>
    <w:rsid w:val="00204F94"/>
    <w:rsid w:val="00214A00"/>
    <w:rsid w:val="0021617C"/>
    <w:rsid w:val="002369E5"/>
    <w:rsid w:val="0024036A"/>
    <w:rsid w:val="0026505B"/>
    <w:rsid w:val="002958A7"/>
    <w:rsid w:val="002A3D01"/>
    <w:rsid w:val="002C160F"/>
    <w:rsid w:val="002E74D2"/>
    <w:rsid w:val="00303C2A"/>
    <w:rsid w:val="00362F5C"/>
    <w:rsid w:val="00365098"/>
    <w:rsid w:val="00393EB2"/>
    <w:rsid w:val="003A3171"/>
    <w:rsid w:val="003D1D2F"/>
    <w:rsid w:val="003E5177"/>
    <w:rsid w:val="003F6189"/>
    <w:rsid w:val="00422808"/>
    <w:rsid w:val="00425C48"/>
    <w:rsid w:val="004338BB"/>
    <w:rsid w:val="00440034"/>
    <w:rsid w:val="004761A5"/>
    <w:rsid w:val="004B1EAF"/>
    <w:rsid w:val="004E6DF8"/>
    <w:rsid w:val="004F2381"/>
    <w:rsid w:val="00527A8B"/>
    <w:rsid w:val="005661CC"/>
    <w:rsid w:val="00575D0C"/>
    <w:rsid w:val="00582A2B"/>
    <w:rsid w:val="0058359F"/>
    <w:rsid w:val="005A551D"/>
    <w:rsid w:val="005B4806"/>
    <w:rsid w:val="0064484F"/>
    <w:rsid w:val="00662DA0"/>
    <w:rsid w:val="006A59B4"/>
    <w:rsid w:val="006C5FD6"/>
    <w:rsid w:val="006E4C59"/>
    <w:rsid w:val="006F798A"/>
    <w:rsid w:val="00700CDE"/>
    <w:rsid w:val="00710544"/>
    <w:rsid w:val="00722D05"/>
    <w:rsid w:val="007775F0"/>
    <w:rsid w:val="007D7B2A"/>
    <w:rsid w:val="00806B72"/>
    <w:rsid w:val="00831D6C"/>
    <w:rsid w:val="00834DBA"/>
    <w:rsid w:val="00836371"/>
    <w:rsid w:val="00853FC4"/>
    <w:rsid w:val="00887FBE"/>
    <w:rsid w:val="009046F8"/>
    <w:rsid w:val="0093357B"/>
    <w:rsid w:val="00933D6A"/>
    <w:rsid w:val="00935CCF"/>
    <w:rsid w:val="00955E77"/>
    <w:rsid w:val="0095650C"/>
    <w:rsid w:val="00965DFA"/>
    <w:rsid w:val="009728B7"/>
    <w:rsid w:val="00987D9D"/>
    <w:rsid w:val="009A088A"/>
    <w:rsid w:val="009D13DD"/>
    <w:rsid w:val="009D1535"/>
    <w:rsid w:val="009E312C"/>
    <w:rsid w:val="009E79E4"/>
    <w:rsid w:val="00A222CA"/>
    <w:rsid w:val="00A3038C"/>
    <w:rsid w:val="00A3124F"/>
    <w:rsid w:val="00A36759"/>
    <w:rsid w:val="00A61305"/>
    <w:rsid w:val="00A74799"/>
    <w:rsid w:val="00B00A7F"/>
    <w:rsid w:val="00B13F26"/>
    <w:rsid w:val="00B14846"/>
    <w:rsid w:val="00B3326B"/>
    <w:rsid w:val="00B413F2"/>
    <w:rsid w:val="00B4254B"/>
    <w:rsid w:val="00B76C15"/>
    <w:rsid w:val="00B91CB7"/>
    <w:rsid w:val="00B936D2"/>
    <w:rsid w:val="00BB322B"/>
    <w:rsid w:val="00BE1760"/>
    <w:rsid w:val="00C027C6"/>
    <w:rsid w:val="00C34704"/>
    <w:rsid w:val="00C54986"/>
    <w:rsid w:val="00CA6ED9"/>
    <w:rsid w:val="00CA6FEE"/>
    <w:rsid w:val="00CC4F53"/>
    <w:rsid w:val="00CD1F8A"/>
    <w:rsid w:val="00CD50F8"/>
    <w:rsid w:val="00CF1E5A"/>
    <w:rsid w:val="00D246F9"/>
    <w:rsid w:val="00D312ED"/>
    <w:rsid w:val="00D733DF"/>
    <w:rsid w:val="00D76913"/>
    <w:rsid w:val="00D92CA0"/>
    <w:rsid w:val="00D93D3E"/>
    <w:rsid w:val="00DD302A"/>
    <w:rsid w:val="00DD3330"/>
    <w:rsid w:val="00DE2997"/>
    <w:rsid w:val="00E03F59"/>
    <w:rsid w:val="00E30682"/>
    <w:rsid w:val="00E5133F"/>
    <w:rsid w:val="00E74ED3"/>
    <w:rsid w:val="00EC2258"/>
    <w:rsid w:val="00F00698"/>
    <w:rsid w:val="00F1017E"/>
    <w:rsid w:val="00F203D3"/>
    <w:rsid w:val="00F35E6F"/>
    <w:rsid w:val="00F43A5A"/>
    <w:rsid w:val="00F600F1"/>
    <w:rsid w:val="00F905CE"/>
    <w:rsid w:val="00FB3DE7"/>
    <w:rsid w:val="00FD13C3"/>
    <w:rsid w:val="00FE0E40"/>
    <w:rsid w:val="00FF29D5"/>
    <w:rsid w:val="00FF4EC7"/>
    <w:rsid w:val="2A252AF8"/>
    <w:rsid w:val="5A265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6"/>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2"/>
    <w:basedOn w:val="1"/>
    <w:next w:val="1"/>
    <w:link w:val="7"/>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customStyle="1" w:styleId="6">
    <w:name w:val="标题 1 Char"/>
    <w:basedOn w:val="5"/>
    <w:link w:val="2"/>
    <w:qFormat/>
    <w:uiPriority w:val="9"/>
    <w:rPr>
      <w:rFonts w:ascii="宋体" w:hAnsi="宋体" w:eastAsia="宋体" w:cs="宋体"/>
      <w:b/>
      <w:bCs/>
      <w:kern w:val="36"/>
      <w:sz w:val="48"/>
      <w:szCs w:val="48"/>
    </w:rPr>
  </w:style>
  <w:style w:type="character" w:customStyle="1" w:styleId="7">
    <w:name w:val="标题 2 Char"/>
    <w:basedOn w:val="5"/>
    <w:link w:val="3"/>
    <w:qFormat/>
    <w:uiPriority w:val="9"/>
    <w:rPr>
      <w:rFonts w:ascii="宋体" w:hAnsi="宋体" w:eastAsia="宋体" w:cs="宋体"/>
      <w:b/>
      <w:bCs/>
      <w:kern w:val="0"/>
      <w:sz w:val="36"/>
      <w:szCs w:val="3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1828</Words>
  <Characters>1876</Characters>
  <Lines>13</Lines>
  <Paragraphs>3</Paragraphs>
  <TotalTime>15</TotalTime>
  <ScaleCrop>false</ScaleCrop>
  <LinksUpToDate>false</LinksUpToDate>
  <CharactersWithSpaces>1876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2025-12-04T03:16:00Z</dcterms:created>
  <dc:creator>Administrator</dc:creator>
  <cp:lastModifiedBy>鸡蛋三明治</cp:lastModifiedBy>
  <dcterms:modified xsi:type="dcterms:W3CDTF">2025-12-31T02:46:24Z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6AA1A471DA3A4928AD1734725B37A664</vt:lpwstr>
  </property>
  <property fmtid="{D5CDD505-2E9C-101B-9397-08002B2CF9AE}" pid="4" name="KSOTemplateDocerSaveRecord">
    <vt:lpwstr>eyJoZGlkIjoiYWQ5ZjI1M2RlN2M1YzI5MDkzM2Q2MGYyNzVlNDFlNTYiLCJ1c2VySWQiOiIxMTcyNDQ1MDU1In0=</vt:lpwstr>
  </property>
</Properties>
</file>