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0EEC9">
      <w:pPr>
        <w:widowControl/>
        <w:shd w:val="clear" w:color="auto" w:fill="FFFFFF"/>
        <w:spacing w:before="100" w:beforeAutospacing="1" w:after="240" w:line="510" w:lineRule="atLeast"/>
        <w:jc w:val="center"/>
        <w:outlineLvl w:val="0"/>
        <w:rPr>
          <w:rFonts w:ascii="方正小标宋简体" w:hAnsi="Segoe UI" w:eastAsia="方正小标宋简体" w:cs="Segoe UI"/>
          <w:b/>
          <w:bCs/>
          <w:color w:val="0F1115"/>
          <w:kern w:val="36"/>
          <w:sz w:val="36"/>
          <w:szCs w:val="36"/>
          <w14:ligatures w14:val="none"/>
        </w:rPr>
      </w:pPr>
      <w:r>
        <w:rPr>
          <w:rFonts w:hint="eastAsia" w:ascii="方正小标宋简体" w:hAnsi="微软雅黑" w:eastAsia="方正小标宋简体" w:cs="微软雅黑"/>
          <w:color w:val="0F1115"/>
          <w:kern w:val="36"/>
          <w:sz w:val="36"/>
          <w:szCs w:val="36"/>
          <w14:ligatures w14:val="none"/>
        </w:rPr>
        <w:t>衢州学院数智人力微专业招生简章</w:t>
      </w:r>
    </w:p>
    <w:p w14:paraId="28356BDD">
      <w:pPr>
        <w:widowControl/>
        <w:shd w:val="clear" w:color="auto" w:fill="FFFFFF"/>
        <w:spacing w:after="0" w:line="400" w:lineRule="exact"/>
        <w:ind w:firstLine="600" w:firstLineChars="200"/>
        <w:outlineLvl w:val="1"/>
        <w:rPr>
          <w:rFonts w:hint="eastAsia" w:ascii="黑体" w:hAnsi="黑体" w:eastAsia="黑体" w:cs="Segoe UI"/>
          <w:b/>
          <w:bCs/>
          <w:color w:val="0F1115"/>
          <w:kern w:val="0"/>
          <w:sz w:val="30"/>
          <w:szCs w:val="30"/>
          <w14:ligatures w14:val="none"/>
        </w:rPr>
      </w:pPr>
      <w:r>
        <w:rPr>
          <w:rFonts w:hint="eastAsia" w:ascii="黑体" w:hAnsi="黑体" w:eastAsia="黑体" w:cs="微软雅黑"/>
          <w:color w:val="0F1115"/>
          <w:kern w:val="0"/>
          <w:sz w:val="30"/>
          <w:szCs w:val="30"/>
          <w14:ligatures w14:val="none"/>
        </w:rPr>
        <w:t>一、基本信</w:t>
      </w:r>
      <w:r>
        <w:rPr>
          <w:rFonts w:ascii="黑体" w:hAnsi="黑体" w:eastAsia="黑体" w:cs="微软雅黑"/>
          <w:color w:val="0F1115"/>
          <w:kern w:val="0"/>
          <w:sz w:val="30"/>
          <w:szCs w:val="30"/>
          <w14:ligatures w14:val="none"/>
        </w:rPr>
        <w:t>息</w:t>
      </w:r>
    </w:p>
    <w:p w14:paraId="2477C4C5">
      <w:pPr>
        <w:widowControl/>
        <w:shd w:val="clear" w:color="auto" w:fill="FFFFFF"/>
        <w:spacing w:after="0" w:line="560" w:lineRule="exact"/>
        <w:ind w:left="557" w:leftChars="232"/>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1. 微专业名称：</w:t>
      </w:r>
      <w:r>
        <w:rPr>
          <w:rFonts w:hint="eastAsia" w:ascii="仿宋_GB2312" w:hAnsi="仿宋_GB2312" w:eastAsia="仿宋_GB2312" w:cs="仿宋_GB2312"/>
          <w:color w:val="0F1115"/>
          <w:kern w:val="0"/>
          <w:sz w:val="28"/>
          <w:szCs w:val="28"/>
          <w14:ligatures w14:val="none"/>
        </w:rPr>
        <w:t>数智人力</w:t>
      </w:r>
      <w:r>
        <w:rPr>
          <w:rFonts w:hint="eastAsia" w:ascii="仿宋_GB2312" w:hAnsi="仿宋_GB2312" w:eastAsia="仿宋_GB2312" w:cs="仿宋_GB2312"/>
          <w:color w:val="0F1115"/>
          <w:kern w:val="0"/>
          <w:sz w:val="28"/>
          <w:szCs w:val="28"/>
          <w14:ligatures w14:val="none"/>
        </w:rPr>
        <w:br w:type="textWrapping"/>
      </w:r>
      <w:r>
        <w:rPr>
          <w:rFonts w:hint="eastAsia" w:ascii="仿宋_GB2312" w:hAnsi="仿宋_GB2312" w:eastAsia="仿宋_GB2312" w:cs="仿宋_GB2312"/>
          <w:b/>
          <w:bCs/>
          <w:color w:val="0F1115"/>
          <w:kern w:val="0"/>
          <w:sz w:val="28"/>
          <w:szCs w:val="28"/>
          <w14:ligatures w14:val="none"/>
        </w:rPr>
        <w:t>2. 依托专业所在学院：</w:t>
      </w:r>
      <w:r>
        <w:rPr>
          <w:rFonts w:hint="eastAsia" w:ascii="仿宋_GB2312" w:hAnsi="仿宋_GB2312" w:eastAsia="仿宋_GB2312" w:cs="仿宋_GB2312"/>
          <w:color w:val="0F1115"/>
          <w:kern w:val="0"/>
          <w:sz w:val="28"/>
          <w:szCs w:val="28"/>
          <w14:ligatures w14:val="none"/>
        </w:rPr>
        <w:t>商学院</w:t>
      </w:r>
      <w:r>
        <w:rPr>
          <w:rFonts w:hint="eastAsia" w:ascii="仿宋_GB2312" w:hAnsi="仿宋_GB2312" w:eastAsia="仿宋_GB2312" w:cs="仿宋_GB2312"/>
          <w:color w:val="0F1115"/>
          <w:kern w:val="0"/>
          <w:sz w:val="28"/>
          <w:szCs w:val="28"/>
          <w14:ligatures w14:val="none"/>
        </w:rPr>
        <w:br w:type="textWrapping"/>
      </w:r>
      <w:r>
        <w:rPr>
          <w:rFonts w:hint="eastAsia" w:ascii="仿宋_GB2312" w:hAnsi="仿宋_GB2312" w:eastAsia="仿宋_GB2312" w:cs="仿宋_GB2312"/>
          <w:b/>
          <w:bCs/>
          <w:color w:val="0F1115"/>
          <w:kern w:val="0"/>
          <w:sz w:val="28"/>
          <w:szCs w:val="28"/>
          <w14:ligatures w14:val="none"/>
        </w:rPr>
        <w:t>3. 合作单位：</w:t>
      </w:r>
      <w:r>
        <w:rPr>
          <w:rFonts w:hint="eastAsia" w:ascii="仿宋_GB2312" w:hAnsi="仿宋_GB2312" w:eastAsia="仿宋_GB2312" w:cs="仿宋_GB2312"/>
          <w:color w:val="0F1115"/>
          <w:kern w:val="0"/>
          <w:sz w:val="28"/>
          <w:szCs w:val="28"/>
          <w14:ligatures w14:val="none"/>
        </w:rPr>
        <w:t>新道科技股份有限公司、衢州市人力资源服务产业园、莲创企业管理咨询有限公司、中国联通衢州分公司、中国农业银行衢州分行等单位</w:t>
      </w:r>
      <w:r>
        <w:rPr>
          <w:rFonts w:hint="eastAsia" w:ascii="仿宋_GB2312" w:hAnsi="仿宋_GB2312" w:eastAsia="仿宋_GB2312" w:cs="仿宋_GB2312"/>
          <w:color w:val="0F1115"/>
          <w:kern w:val="0"/>
          <w:sz w:val="28"/>
          <w:szCs w:val="28"/>
          <w14:ligatures w14:val="none"/>
        </w:rPr>
        <w:br w:type="textWrapping"/>
      </w:r>
      <w:r>
        <w:rPr>
          <w:rFonts w:hint="eastAsia" w:ascii="仿宋_GB2312" w:hAnsi="仿宋_GB2312" w:eastAsia="仿宋_GB2312" w:cs="仿宋_GB2312"/>
          <w:b/>
          <w:bCs/>
          <w:color w:val="0F1115"/>
          <w:kern w:val="0"/>
          <w:sz w:val="28"/>
          <w:szCs w:val="28"/>
          <w14:ligatures w14:val="none"/>
        </w:rPr>
        <w:t>4. 微专业负责人：</w:t>
      </w:r>
      <w:r>
        <w:rPr>
          <w:rFonts w:hint="eastAsia" w:ascii="仿宋_GB2312" w:hAnsi="仿宋_GB2312" w:eastAsia="仿宋_GB2312" w:cs="仿宋_GB2312"/>
          <w:color w:val="0F1115"/>
          <w:kern w:val="0"/>
          <w:sz w:val="28"/>
          <w:szCs w:val="28"/>
          <w14:ligatures w14:val="none"/>
        </w:rPr>
        <w:t>朱海华</w:t>
      </w:r>
    </w:p>
    <w:p w14:paraId="21C477FC">
      <w:pPr>
        <w:widowControl/>
        <w:shd w:val="clear" w:color="auto" w:fill="FFFFFF"/>
        <w:spacing w:after="0" w:line="560" w:lineRule="exact"/>
        <w:ind w:firstLine="600" w:firstLineChars="200"/>
        <w:outlineLvl w:val="1"/>
        <w:rPr>
          <w:rFonts w:hint="eastAsia" w:ascii="黑体" w:hAnsi="黑体" w:eastAsia="黑体" w:cs="微软雅黑"/>
          <w:b/>
          <w:bCs/>
          <w:color w:val="0F1115"/>
          <w:kern w:val="0"/>
          <w:sz w:val="30"/>
          <w:szCs w:val="30"/>
          <w14:ligatures w14:val="none"/>
        </w:rPr>
      </w:pPr>
      <w:r>
        <w:rPr>
          <w:rFonts w:hint="eastAsia" w:ascii="黑体" w:hAnsi="黑体" w:eastAsia="黑体" w:cs="微软雅黑"/>
          <w:color w:val="0F1115"/>
          <w:kern w:val="0"/>
          <w:sz w:val="30"/>
          <w:szCs w:val="30"/>
          <w14:ligatures w14:val="none"/>
        </w:rPr>
        <w:t>二、专业简</w:t>
      </w:r>
      <w:r>
        <w:rPr>
          <w:rFonts w:ascii="黑体" w:hAnsi="黑体" w:eastAsia="黑体" w:cs="微软雅黑"/>
          <w:color w:val="0F1115"/>
          <w:kern w:val="0"/>
          <w:sz w:val="30"/>
          <w:szCs w:val="30"/>
          <w14:ligatures w14:val="none"/>
        </w:rPr>
        <w:t>介</w:t>
      </w:r>
    </w:p>
    <w:p w14:paraId="07460F00">
      <w:pPr>
        <w:widowControl/>
        <w:shd w:val="clear" w:color="auto" w:fill="FFFFFF"/>
        <w:spacing w:after="0" w:line="560" w:lineRule="exact"/>
        <w:ind w:firstLine="562" w:firstLineChars="200"/>
        <w:jc w:val="both"/>
        <w:rPr>
          <w:rFonts w:hint="eastAsia" w:ascii="仿宋_GB2312" w:hAnsi="仿宋_GB2312" w:eastAsia="仿宋_GB2312" w:cs="仿宋_GB2312"/>
          <w:b/>
          <w:bCs/>
          <w:sz w:val="28"/>
          <w:szCs w:val="28"/>
          <w14:ligatures w14:val="none"/>
        </w:rPr>
      </w:pPr>
      <w:r>
        <w:rPr>
          <w:rFonts w:hint="eastAsia" w:ascii="仿宋_GB2312" w:hAnsi="仿宋_GB2312" w:eastAsia="仿宋_GB2312" w:cs="仿宋_GB2312"/>
          <w:b/>
          <w:bCs/>
          <w:sz w:val="28"/>
          <w:szCs w:val="28"/>
          <w14:ligatures w14:val="none"/>
        </w:rPr>
        <w:t>1. 定位与特色</w:t>
      </w:r>
    </w:p>
    <w:p w14:paraId="562C64F2">
      <w:pPr>
        <w:widowControl/>
        <w:shd w:val="clear" w:color="auto" w:fill="FFFFFF"/>
        <w:spacing w:after="0" w:line="560" w:lineRule="exact"/>
        <w:ind w:firstLine="560" w:firstLineChars="200"/>
        <w:jc w:val="both"/>
        <w:rPr>
          <w:rFonts w:hint="eastAsia" w:ascii="仿宋_GB2312" w:hAnsi="仿宋_GB2312" w:eastAsia="仿宋_GB2312" w:cs="仿宋_GB2312"/>
          <w:sz w:val="28"/>
          <w:szCs w:val="28"/>
          <w14:ligatures w14:val="none"/>
        </w:rPr>
      </w:pPr>
      <w:r>
        <w:rPr>
          <w:rFonts w:hint="eastAsia" w:ascii="仿宋_GB2312" w:hAnsi="仿宋_GB2312" w:eastAsia="仿宋_GB2312" w:cs="仿宋_GB2312"/>
          <w:sz w:val="28"/>
          <w:szCs w:val="28"/>
          <w14:ligatures w14:val="none"/>
        </w:rPr>
        <w:t>“数智人力”微专业面向数字经济与人工智能快速发展背景，聚焦培养“本专业+数智人力技能”的交叉复合型人才。项目专为全校非人力专业学生设计，</w:t>
      </w:r>
      <w:r>
        <w:rPr>
          <w:rFonts w:hint="eastAsia" w:ascii="仿宋_GB2312" w:hAnsi="仿宋_GB2312" w:eastAsia="仿宋_GB2312" w:cs="仿宋_GB2312"/>
          <w:b/>
          <w:bCs/>
          <w:sz w:val="28"/>
          <w:szCs w:val="28"/>
          <w:lang w:eastAsia="zh-CN"/>
          <w14:ligatures w14:val="none"/>
        </w:rPr>
        <w:t>强化面试技巧、管理沟通及劳动关系等核心技能提升</w:t>
      </w:r>
      <w:r>
        <w:rPr>
          <w:rFonts w:hint="eastAsia" w:ascii="仿宋_GB2312" w:hAnsi="仿宋_GB2312" w:eastAsia="仿宋_GB2312" w:cs="仿宋_GB2312"/>
          <w:sz w:val="28"/>
          <w:szCs w:val="28"/>
          <w:lang w:eastAsia="zh-CN"/>
          <w14:ligatures w14:val="none"/>
        </w:rPr>
        <w:t>，采用线上线下混合式教学，依托</w:t>
      </w:r>
      <w:r>
        <w:rPr>
          <w:rFonts w:hint="eastAsia" w:ascii="仿宋_GB2312" w:hAnsi="仿宋_GB2312" w:eastAsia="仿宋_GB2312" w:cs="仿宋_GB2312"/>
          <w:sz w:val="28"/>
          <w:szCs w:val="28"/>
          <w14:ligatures w14:val="none"/>
        </w:rPr>
        <w:t>衢州学院人力资源管理</w:t>
      </w:r>
      <w:r>
        <w:rPr>
          <w:rFonts w:hint="eastAsia" w:ascii="仿宋_GB2312" w:hAnsi="仿宋_GB2312" w:eastAsia="仿宋_GB2312" w:cs="仿宋_GB2312"/>
          <w:sz w:val="28"/>
          <w:szCs w:val="28"/>
          <w:lang w:eastAsia="zh-CN"/>
          <w14:ligatures w14:val="none"/>
        </w:rPr>
        <w:t>浙江</w:t>
      </w:r>
      <w:r>
        <w:rPr>
          <w:rFonts w:hint="eastAsia" w:ascii="仿宋_GB2312" w:hAnsi="仿宋_GB2312" w:eastAsia="仿宋_GB2312" w:cs="仿宋_GB2312"/>
          <w:sz w:val="28"/>
          <w:szCs w:val="28"/>
          <w14:ligatures w14:val="none"/>
        </w:rPr>
        <w:t>省一流专业与</w:t>
      </w:r>
      <w:r>
        <w:rPr>
          <w:rFonts w:hint="eastAsia" w:ascii="仿宋_GB2312" w:hAnsi="仿宋_GB2312" w:eastAsia="仿宋_GB2312" w:cs="仿宋_GB2312"/>
          <w:sz w:val="28"/>
          <w:szCs w:val="28"/>
          <w:lang w:eastAsia="zh-CN"/>
          <w14:ligatures w14:val="none"/>
        </w:rPr>
        <w:t>衢州学院首批</w:t>
      </w:r>
      <w:r>
        <w:rPr>
          <w:rFonts w:hint="eastAsia" w:ascii="仿宋_GB2312" w:hAnsi="仿宋_GB2312" w:eastAsia="仿宋_GB2312" w:cs="仿宋_GB2312"/>
          <w:sz w:val="28"/>
          <w:szCs w:val="28"/>
          <w14:ligatures w14:val="none"/>
        </w:rPr>
        <w:t>产教融合示范专业，联合</w:t>
      </w:r>
      <w:r>
        <w:rPr>
          <w:rFonts w:hint="eastAsia" w:ascii="仿宋_GB2312" w:hAnsi="仿宋_GB2312" w:eastAsia="仿宋_GB2312" w:cs="仿宋_GB2312"/>
          <w:sz w:val="28"/>
          <w:szCs w:val="28"/>
          <w:lang w:val="en-US" w:eastAsia="zh-CN"/>
          <w14:ligatures w14:val="none"/>
        </w:rPr>
        <w:t>10余家优质国企合作单位，</w:t>
      </w:r>
      <w:r>
        <w:rPr>
          <w:rFonts w:hint="eastAsia" w:ascii="仿宋_GB2312" w:hAnsi="仿宋_GB2312" w:eastAsia="仿宋_GB2312" w:cs="仿宋_GB2312"/>
          <w:sz w:val="28"/>
          <w:szCs w:val="28"/>
          <w14:ligatures w14:val="none"/>
        </w:rPr>
        <w:t>构建“高校+企业+产业园区”三方协同育人模式，通过数智人力综合实训平台与企业真实项目，实现从理论认知到岗位实操的能力跃迁。</w:t>
      </w:r>
    </w:p>
    <w:p w14:paraId="5519DB73">
      <w:pPr>
        <w:widowControl/>
        <w:shd w:val="clear" w:color="auto" w:fill="FFFFFF"/>
        <w:spacing w:after="0" w:line="560" w:lineRule="exact"/>
        <w:ind w:firstLine="560" w:firstLineChars="200"/>
        <w:jc w:val="both"/>
        <w:rPr>
          <w:rFonts w:hint="eastAsia" w:ascii="仿宋_GB2312" w:hAnsi="仿宋_GB2312" w:eastAsia="仿宋_GB2312" w:cs="仿宋_GB2312"/>
          <w:sz w:val="28"/>
          <w:szCs w:val="28"/>
          <w14:ligatures w14:val="none"/>
        </w:rPr>
      </w:pPr>
      <w:r>
        <w:rPr>
          <w:rFonts w:hint="eastAsia" w:ascii="仿宋_GB2312" w:hAnsi="仿宋_GB2312" w:eastAsia="仿宋_GB2312" w:cs="仿宋_GB2312"/>
          <w:sz w:val="28"/>
          <w:szCs w:val="28"/>
          <w14:ligatures w14:val="none"/>
        </w:rPr>
        <w:t>本微专业主要呈现以下特色：</w:t>
      </w:r>
    </w:p>
    <w:p w14:paraId="3D08F4F8">
      <w:pPr>
        <w:widowControl/>
        <w:shd w:val="clear" w:color="auto" w:fill="FFFFFF"/>
        <w:spacing w:after="0" w:line="560" w:lineRule="exact"/>
        <w:ind w:firstLine="562" w:firstLineChars="200"/>
        <w:jc w:val="both"/>
        <w:rPr>
          <w:rFonts w:hint="eastAsia" w:ascii="仿宋_GB2312" w:hAnsi="仿宋_GB2312" w:eastAsia="仿宋_GB2312" w:cs="仿宋_GB2312"/>
          <w:b/>
          <w:bCs/>
          <w:sz w:val="28"/>
          <w:szCs w:val="28"/>
          <w14:ligatures w14:val="none"/>
        </w:rPr>
      </w:pPr>
      <w:r>
        <w:rPr>
          <w:rFonts w:hint="eastAsia" w:ascii="仿宋_GB2312" w:hAnsi="仿宋_GB2312" w:eastAsia="仿宋_GB2312" w:cs="仿宋_GB2312"/>
          <w:b/>
          <w:bCs/>
          <w:sz w:val="28"/>
          <w:szCs w:val="28"/>
          <w14:ligatures w14:val="none"/>
        </w:rPr>
        <w:t>（1）轻量化课程结构</w:t>
      </w:r>
    </w:p>
    <w:p w14:paraId="1BAAA47D">
      <w:pPr>
        <w:widowControl/>
        <w:shd w:val="clear" w:color="auto" w:fill="FFFFFF"/>
        <w:spacing w:after="0" w:line="560" w:lineRule="exact"/>
        <w:ind w:firstLine="560" w:firstLineChars="200"/>
        <w:jc w:val="both"/>
        <w:rPr>
          <w:rFonts w:hint="eastAsia" w:ascii="仿宋_GB2312" w:hAnsi="仿宋_GB2312" w:eastAsia="仿宋_GB2312" w:cs="仿宋_GB2312"/>
          <w:sz w:val="28"/>
          <w:szCs w:val="28"/>
          <w14:ligatures w14:val="none"/>
        </w:rPr>
      </w:pPr>
      <w:r>
        <w:rPr>
          <w:rFonts w:hint="eastAsia" w:ascii="仿宋_GB2312" w:hAnsi="仿宋_GB2312" w:eastAsia="仿宋_GB2312" w:cs="仿宋_GB2312"/>
          <w:sz w:val="28"/>
          <w:szCs w:val="28"/>
          <w14:ligatures w14:val="none"/>
        </w:rPr>
        <w:t>设置1</w:t>
      </w:r>
      <w:r>
        <w:rPr>
          <w:rFonts w:hint="eastAsia" w:ascii="仿宋_GB2312" w:hAnsi="仿宋_GB2312" w:eastAsia="仿宋_GB2312" w:cs="仿宋_GB2312"/>
          <w:sz w:val="28"/>
          <w:szCs w:val="28"/>
          <w:lang w:val="en-US" w:eastAsia="zh-CN"/>
          <w14:ligatures w14:val="none"/>
        </w:rPr>
        <w:t>2</w:t>
      </w:r>
      <w:r>
        <w:rPr>
          <w:rFonts w:hint="eastAsia" w:ascii="仿宋_GB2312" w:hAnsi="仿宋_GB2312" w:eastAsia="仿宋_GB2312" w:cs="仿宋_GB2312"/>
          <w:sz w:val="28"/>
          <w:szCs w:val="28"/>
          <w14:ligatures w14:val="none"/>
        </w:rPr>
        <w:t>学分、8门课程，采用“基础—核心—实践”递进式设计，不占用学生主修课时间，学习负担可控。</w:t>
      </w:r>
    </w:p>
    <w:p w14:paraId="3277D38F">
      <w:pPr>
        <w:widowControl/>
        <w:shd w:val="clear" w:color="auto" w:fill="FFFFFF"/>
        <w:spacing w:after="0" w:line="560" w:lineRule="exact"/>
        <w:ind w:firstLine="562" w:firstLineChars="200"/>
        <w:jc w:val="both"/>
        <w:rPr>
          <w:rFonts w:hint="eastAsia" w:ascii="仿宋_GB2312" w:hAnsi="仿宋_GB2312" w:eastAsia="仿宋_GB2312" w:cs="仿宋_GB2312"/>
          <w:b/>
          <w:bCs/>
          <w:sz w:val="28"/>
          <w:szCs w:val="28"/>
          <w14:ligatures w14:val="none"/>
        </w:rPr>
      </w:pPr>
      <w:r>
        <w:rPr>
          <w:rFonts w:hint="eastAsia" w:ascii="仿宋_GB2312" w:hAnsi="仿宋_GB2312" w:eastAsia="仿宋_GB2312" w:cs="仿宋_GB2312"/>
          <w:b/>
          <w:bCs/>
          <w:sz w:val="28"/>
          <w:szCs w:val="28"/>
          <w14:ligatures w14:val="none"/>
        </w:rPr>
        <w:t>（2）数智工具驱动，实操为主</w:t>
      </w:r>
    </w:p>
    <w:p w14:paraId="39FBD204">
      <w:pPr>
        <w:widowControl/>
        <w:shd w:val="clear" w:color="auto" w:fill="FFFFFF"/>
        <w:spacing w:after="0" w:line="560" w:lineRule="exact"/>
        <w:ind w:firstLine="560" w:firstLineChars="200"/>
        <w:jc w:val="both"/>
        <w:rPr>
          <w:rFonts w:hint="eastAsia" w:ascii="仿宋_GB2312" w:hAnsi="仿宋_GB2312" w:eastAsia="仿宋_GB2312" w:cs="仿宋_GB2312"/>
          <w:sz w:val="28"/>
          <w:szCs w:val="28"/>
          <w14:ligatures w14:val="none"/>
        </w:rPr>
      </w:pPr>
      <w:r>
        <w:rPr>
          <w:rFonts w:hint="eastAsia" w:ascii="仿宋_GB2312" w:hAnsi="仿宋_GB2312" w:eastAsia="仿宋_GB2312" w:cs="仿宋_GB2312"/>
          <w:sz w:val="28"/>
          <w:szCs w:val="28"/>
          <w14:ligatures w14:val="none"/>
        </w:rPr>
        <w:t>聚焦AI办公、人力数据分析、智能招聘系统、绩效与薪酬数字化等岗位高频技能，强调“少理论、多操作、可落地”，学完即可直接应用。</w:t>
      </w:r>
    </w:p>
    <w:p w14:paraId="0D055577">
      <w:pPr>
        <w:widowControl/>
        <w:shd w:val="clear" w:color="auto" w:fill="FFFFFF"/>
        <w:spacing w:after="0" w:line="560" w:lineRule="exact"/>
        <w:ind w:firstLine="562" w:firstLineChars="200"/>
        <w:jc w:val="both"/>
        <w:rPr>
          <w:rFonts w:hint="eastAsia" w:ascii="仿宋_GB2312" w:hAnsi="仿宋_GB2312" w:eastAsia="仿宋_GB2312" w:cs="仿宋_GB2312"/>
          <w:b/>
          <w:bCs/>
          <w:sz w:val="28"/>
          <w:szCs w:val="28"/>
          <w14:ligatures w14:val="none"/>
        </w:rPr>
      </w:pPr>
      <w:r>
        <w:rPr>
          <w:rFonts w:hint="eastAsia" w:ascii="仿宋_GB2312" w:hAnsi="仿宋_GB2312" w:eastAsia="仿宋_GB2312" w:cs="仿宋_GB2312"/>
          <w:b/>
          <w:bCs/>
          <w:sz w:val="28"/>
          <w:szCs w:val="28"/>
          <w14:ligatures w14:val="none"/>
        </w:rPr>
        <w:t>（3）“跨岗就业+本专业增值”双路径发展</w:t>
      </w:r>
    </w:p>
    <w:p w14:paraId="20AC67AF">
      <w:pPr>
        <w:widowControl/>
        <w:shd w:val="clear" w:color="auto" w:fill="FFFFFF"/>
        <w:spacing w:after="0" w:line="560" w:lineRule="exact"/>
        <w:ind w:firstLine="560" w:firstLineChars="200"/>
        <w:jc w:val="both"/>
        <w:rPr>
          <w:rFonts w:hint="eastAsia" w:ascii="仿宋_GB2312" w:hAnsi="仿宋_GB2312" w:eastAsia="仿宋_GB2312" w:cs="仿宋_GB2312"/>
          <w:sz w:val="28"/>
          <w:szCs w:val="28"/>
          <w14:ligatures w14:val="none"/>
        </w:rPr>
      </w:pPr>
      <w:r>
        <w:rPr>
          <w:rFonts w:hint="eastAsia" w:ascii="仿宋_GB2312" w:hAnsi="仿宋_GB2312" w:eastAsia="仿宋_GB2312" w:cs="仿宋_GB2312"/>
          <w:sz w:val="28"/>
          <w:szCs w:val="28"/>
          <w14:ligatures w14:val="none"/>
        </w:rPr>
        <w:t>既能帮助学生跨入HR及数智人力相关岗位，也能为本专业学习和未来职业发展提供数据分析、流程优化、团队管理等重要支撑，实现就业竞争力整体提升。</w:t>
      </w:r>
    </w:p>
    <w:p w14:paraId="732ED34C">
      <w:pPr>
        <w:widowControl/>
        <w:shd w:val="clear" w:color="auto" w:fill="FFFFFF"/>
        <w:spacing w:after="0" w:line="560" w:lineRule="exact"/>
        <w:ind w:firstLine="560" w:firstLineChars="200"/>
        <w:jc w:val="both"/>
        <w:rPr>
          <w:rFonts w:hint="eastAsia" w:ascii="仿宋_GB2312" w:hAnsi="仿宋_GB2312" w:eastAsia="仿宋_GB2312" w:cs="仿宋_GB2312"/>
          <w:sz w:val="28"/>
          <w:szCs w:val="28"/>
          <w14:ligatures w14:val="none"/>
        </w:rPr>
      </w:pPr>
      <w:r>
        <w:rPr>
          <w:rFonts w:hint="eastAsia" w:ascii="仿宋_GB2312" w:hAnsi="仿宋_GB2312" w:eastAsia="仿宋_GB2312" w:cs="仿宋_GB2312"/>
          <w:sz w:val="28"/>
          <w:szCs w:val="28"/>
          <w14:ligatures w14:val="none"/>
        </w:rPr>
        <w:t>通过本微专业的学习，学生将形成“非人力专业背景+数智人力技能+行业适配能力”的复合优势，在未来职场中获得更广的发展空间。</w:t>
      </w:r>
    </w:p>
    <w:p w14:paraId="0503E123">
      <w:pPr>
        <w:widowControl/>
        <w:shd w:val="clear" w:color="auto" w:fill="FFFFFF"/>
        <w:spacing w:after="0" w:line="560" w:lineRule="exact"/>
        <w:ind w:firstLine="562" w:firstLineChars="200"/>
        <w:jc w:val="both"/>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2. 适合人群：</w:t>
      </w:r>
    </w:p>
    <w:p w14:paraId="22FF0B50">
      <w:pPr>
        <w:widowControl/>
        <w:shd w:val="clear" w:color="auto" w:fill="FFFFFF"/>
        <w:spacing w:after="0" w:line="560" w:lineRule="exact"/>
        <w:ind w:firstLine="560" w:firstLineChars="200"/>
        <w:jc w:val="both"/>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本微专业面向全校非人力资源管理类专业的大</w:t>
      </w:r>
      <w:r>
        <w:rPr>
          <w:rFonts w:hint="eastAsia" w:ascii="仿宋_GB2312" w:hAnsi="仿宋_GB2312" w:eastAsia="仿宋_GB2312" w:cs="仿宋_GB2312"/>
          <w:color w:val="0F1115"/>
          <w:kern w:val="0"/>
          <w:sz w:val="28"/>
          <w:szCs w:val="28"/>
          <w:lang w:eastAsia="zh-CN"/>
          <w14:ligatures w14:val="none"/>
        </w:rPr>
        <w:t>三</w:t>
      </w:r>
      <w:r>
        <w:rPr>
          <w:rFonts w:hint="eastAsia" w:ascii="仿宋_GB2312" w:hAnsi="仿宋_GB2312" w:eastAsia="仿宋_GB2312" w:cs="仿宋_GB2312"/>
          <w:color w:val="0F1115"/>
          <w:kern w:val="0"/>
          <w:sz w:val="28"/>
          <w:szCs w:val="28"/>
          <w14:ligatures w14:val="none"/>
        </w:rPr>
        <w:t>、大</w:t>
      </w:r>
      <w:r>
        <w:rPr>
          <w:rFonts w:hint="eastAsia" w:ascii="仿宋_GB2312" w:hAnsi="仿宋_GB2312" w:eastAsia="仿宋_GB2312" w:cs="仿宋_GB2312"/>
          <w:color w:val="0F1115"/>
          <w:kern w:val="0"/>
          <w:sz w:val="28"/>
          <w:szCs w:val="28"/>
          <w:lang w:eastAsia="zh-CN"/>
          <w14:ligatures w14:val="none"/>
        </w:rPr>
        <w:t>四</w:t>
      </w:r>
      <w:r>
        <w:rPr>
          <w:rFonts w:hint="eastAsia" w:ascii="仿宋_GB2312" w:hAnsi="仿宋_GB2312" w:eastAsia="仿宋_GB2312" w:cs="仿宋_GB2312"/>
          <w:color w:val="0F1115"/>
          <w:kern w:val="0"/>
          <w:sz w:val="28"/>
          <w:szCs w:val="28"/>
          <w14:ligatures w14:val="none"/>
        </w:rPr>
        <w:t>学生，主要适合以下类型的同学：</w:t>
      </w:r>
    </w:p>
    <w:p w14:paraId="1A0D967C">
      <w:pPr>
        <w:widowControl/>
        <w:shd w:val="clear" w:color="auto" w:fill="FFFFFF"/>
        <w:spacing w:after="0" w:line="560" w:lineRule="exact"/>
        <w:ind w:firstLine="562" w:firstLineChars="200"/>
        <w:jc w:val="both"/>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（1）希望拓宽就业方向的学生</w:t>
      </w:r>
    </w:p>
    <w:p w14:paraId="1652D849">
      <w:pPr>
        <w:widowControl/>
        <w:shd w:val="clear" w:color="auto" w:fill="FFFFFF"/>
        <w:spacing w:after="0" w:line="560" w:lineRule="exact"/>
        <w:ind w:firstLine="560" w:firstLineChars="200"/>
        <w:jc w:val="both"/>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适用于希望拥有第二职业赛道的学生，如：人力数据专员、招聘运营助理、HR系统支持等岗位，帮助解决“本专业就业拥挤”的困境。</w:t>
      </w:r>
    </w:p>
    <w:p w14:paraId="4C8D622C">
      <w:pPr>
        <w:widowControl/>
        <w:shd w:val="clear" w:color="auto" w:fill="FFFFFF"/>
        <w:spacing w:after="0" w:line="560" w:lineRule="exact"/>
        <w:ind w:firstLine="562" w:firstLineChars="200"/>
        <w:jc w:val="both"/>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（2）具备技术或数据基础，希望走“技术+人力”路径的学生</w:t>
      </w:r>
    </w:p>
    <w:p w14:paraId="66FC0C46">
      <w:pPr>
        <w:widowControl/>
        <w:shd w:val="clear" w:color="auto" w:fill="FFFFFF"/>
        <w:spacing w:after="0" w:line="560" w:lineRule="exact"/>
        <w:ind w:firstLine="560" w:firstLineChars="200"/>
        <w:jc w:val="both"/>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如计算机科学、数据科学、信息管理等专业学生，可将技术优势与数智人力场景结合，胜任企业中“HR系统运维”“人力数据分析”等交叉岗位。</w:t>
      </w:r>
    </w:p>
    <w:p w14:paraId="50FA902F">
      <w:pPr>
        <w:widowControl/>
        <w:shd w:val="clear" w:color="auto" w:fill="FFFFFF"/>
        <w:spacing w:after="0" w:line="560" w:lineRule="exact"/>
        <w:ind w:firstLine="562" w:firstLineChars="200"/>
        <w:jc w:val="both"/>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（3）来自商科、金融、管理类专业，想提升通用管理能力的学生</w:t>
      </w:r>
    </w:p>
    <w:p w14:paraId="377A2C86">
      <w:pPr>
        <w:widowControl/>
        <w:shd w:val="clear" w:color="auto" w:fill="FFFFFF"/>
        <w:spacing w:after="0" w:line="560" w:lineRule="exact"/>
        <w:ind w:firstLine="560" w:firstLineChars="200"/>
        <w:jc w:val="both"/>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如财务管理、电子商务、金融工程、工程管理等专业，希望掌握招聘、绩效、薪酬等组织管理能力，并将AI办公、数据分析等技能应用于本专业实践。</w:t>
      </w:r>
    </w:p>
    <w:p w14:paraId="6BA086D8">
      <w:pPr>
        <w:widowControl/>
        <w:shd w:val="clear" w:color="auto" w:fill="FFFFFF"/>
        <w:spacing w:after="0" w:line="560" w:lineRule="exact"/>
        <w:ind w:firstLine="562" w:firstLineChars="200"/>
        <w:jc w:val="both"/>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（4）对人与组织、AI工具、人力管理有兴趣的学生</w:t>
      </w:r>
    </w:p>
    <w:p w14:paraId="0861FD77">
      <w:pPr>
        <w:widowControl/>
        <w:shd w:val="clear" w:color="auto" w:fill="FFFFFF"/>
        <w:spacing w:after="0" w:line="560" w:lineRule="exact"/>
        <w:ind w:firstLine="560" w:firstLineChars="200"/>
        <w:jc w:val="both"/>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适合关注人力资源管理、组织行为、数字化转型、智能工具提升效率等相关内容，希望提升未来职场竞争力的学生。</w:t>
      </w:r>
    </w:p>
    <w:p w14:paraId="44497805">
      <w:pPr>
        <w:widowControl/>
        <w:shd w:val="clear" w:color="auto" w:fill="FFFFFF"/>
        <w:spacing w:after="0" w:line="560" w:lineRule="exact"/>
        <w:ind w:firstLine="560" w:firstLineChars="200"/>
        <w:jc w:val="both"/>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总体而言，本微专业适合所有希望在主修专业基础上，获得人力资源与数智化能力双提升的同学，是打造个人“复合型能力标签”的优选路径。</w:t>
      </w:r>
    </w:p>
    <w:p w14:paraId="39CAB26B">
      <w:pPr>
        <w:widowControl/>
        <w:shd w:val="clear" w:color="auto" w:fill="FFFFFF"/>
        <w:spacing w:after="0" w:line="560" w:lineRule="exact"/>
        <w:ind w:firstLine="600" w:firstLineChars="200"/>
        <w:outlineLvl w:val="1"/>
        <w:rPr>
          <w:rFonts w:hint="eastAsia" w:ascii="黑体" w:hAnsi="黑体" w:eastAsia="黑体" w:cs="Segoe UI"/>
          <w:b/>
          <w:bCs/>
          <w:color w:val="0F1115"/>
          <w:kern w:val="0"/>
          <w:sz w:val="30"/>
          <w:szCs w:val="30"/>
          <w14:ligatures w14:val="none"/>
        </w:rPr>
      </w:pPr>
      <w:r>
        <w:rPr>
          <w:rFonts w:hint="eastAsia" w:ascii="黑体" w:hAnsi="黑体" w:eastAsia="黑体" w:cs="微软雅黑"/>
          <w:color w:val="0F1115"/>
          <w:kern w:val="0"/>
          <w:sz w:val="30"/>
          <w:szCs w:val="30"/>
          <w14:ligatures w14:val="none"/>
        </w:rPr>
        <w:t>三、培养目</w:t>
      </w:r>
      <w:r>
        <w:rPr>
          <w:rFonts w:ascii="黑体" w:hAnsi="黑体" w:eastAsia="黑体" w:cs="微软雅黑"/>
          <w:color w:val="0F1115"/>
          <w:kern w:val="0"/>
          <w:sz w:val="30"/>
          <w:szCs w:val="30"/>
          <w14:ligatures w14:val="none"/>
        </w:rPr>
        <w:t>标</w:t>
      </w:r>
    </w:p>
    <w:p w14:paraId="302B958E">
      <w:pPr>
        <w:widowControl/>
        <w:shd w:val="clear" w:color="auto" w:fill="FFFFFF"/>
        <w:spacing w:after="0" w:line="560" w:lineRule="exact"/>
        <w:ind w:firstLine="562" w:firstLineChars="200"/>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1. 能力培养：</w:t>
      </w:r>
    </w:p>
    <w:p w14:paraId="34DC4819">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本微专业面向数字经济背景下的应用型人才需求，通过系统课程训练与企业真实项目实践，重点培养学生以下能力：</w:t>
      </w:r>
    </w:p>
    <w:p w14:paraId="416B14D4">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（1）数智工具应用能力：熟练使用AI办公工具、人力资源数字化系统、数据可视化工具等，提高办公效率与业务处理能力。</w:t>
      </w:r>
    </w:p>
    <w:p w14:paraId="7286AEEB">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（2）人力业务理解与操作能力：掌握招聘、绩效、薪酬、培训等核心模块的业务逻辑与基础操作，具备支持企业人力资源数智化运行的能力。</w:t>
      </w:r>
    </w:p>
    <w:p w14:paraId="4FF712DF">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（3）数据分析与洞察能力：能够对招聘、绩效、薪酬等人力数据进行整理、分析与可视化呈现，形成数据驱动的管理洞察与决策建议。</w:t>
      </w:r>
    </w:p>
    <w:p w14:paraId="77B77A3C">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（4）跨领域协同能力：将自身专业优势（计算机、数据、财会、电商、工程管理等）与人力场景相结合，能够与 HR、技术部门有效沟通与协作。</w:t>
      </w:r>
    </w:p>
    <w:p w14:paraId="10C4DFC7">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（5）问题解决与项目实战能力：在真实企业项目中，通过工具应用与场景分析，解决招聘效率、绩效改进、薪酬核算等问题，形成可落地的实践能力。</w:t>
      </w:r>
    </w:p>
    <w:p w14:paraId="13AA7296">
      <w:pPr>
        <w:widowControl/>
        <w:shd w:val="clear" w:color="auto" w:fill="FFFFFF"/>
        <w:spacing w:after="0" w:line="560" w:lineRule="exact"/>
        <w:ind w:firstLine="562" w:firstLineChars="200"/>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2. 职业衔接：</w:t>
      </w:r>
    </w:p>
    <w:p w14:paraId="70CEFDB4">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本微专业构建从课程学习到岗位需求的直接衔接路径，帮助学生实现多方向就业发展：</w:t>
      </w:r>
    </w:p>
    <w:p w14:paraId="0C3AA66C">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（1）支持跨岗进入HR及数智人才岗位：学生可胜任人力数据分析助理、智能招聘运营助理、绩效与薪酬助理、培训运营专员、HR系统运维支持等岗位，实现从非人力专业向人力资源与数智化领域的顺利转向。</w:t>
      </w:r>
    </w:p>
    <w:p w14:paraId="000019F5">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（2）增强本专业就业竞争力：</w:t>
      </w:r>
    </w:p>
    <w:p w14:paraId="086EE4DB">
      <w:pPr>
        <w:pStyle w:val="14"/>
        <w:widowControl/>
        <w:numPr>
          <w:ilvl w:val="0"/>
          <w:numId w:val="1"/>
        </w:numPr>
        <w:shd w:val="clear" w:color="auto" w:fill="FFFFFF"/>
        <w:spacing w:after="0" w:line="560" w:lineRule="exact"/>
        <w:ind w:firstLineChars="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计算机类学生可从事HR SaaS系统运维、流程自动化支持；</w:t>
      </w:r>
    </w:p>
    <w:p w14:paraId="56B494B0">
      <w:pPr>
        <w:pStyle w:val="14"/>
        <w:widowControl/>
        <w:numPr>
          <w:ilvl w:val="0"/>
          <w:numId w:val="1"/>
        </w:numPr>
        <w:shd w:val="clear" w:color="auto" w:fill="FFFFFF"/>
        <w:spacing w:after="0" w:line="560" w:lineRule="exact"/>
        <w:ind w:firstLineChars="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数据类学生可从事人力数据分析、组织数据运营；</w:t>
      </w:r>
    </w:p>
    <w:p w14:paraId="1F9E426B">
      <w:pPr>
        <w:pStyle w:val="14"/>
        <w:widowControl/>
        <w:numPr>
          <w:ilvl w:val="0"/>
          <w:numId w:val="1"/>
        </w:numPr>
        <w:shd w:val="clear" w:color="auto" w:fill="FFFFFF"/>
        <w:spacing w:after="0" w:line="560" w:lineRule="exact"/>
        <w:ind w:firstLineChars="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财会类学生可从事薪酬核算、人工成本分析；</w:t>
      </w:r>
    </w:p>
    <w:p w14:paraId="2425BB33">
      <w:pPr>
        <w:pStyle w:val="14"/>
        <w:widowControl/>
        <w:numPr>
          <w:ilvl w:val="0"/>
          <w:numId w:val="1"/>
        </w:numPr>
        <w:shd w:val="clear" w:color="auto" w:fill="FFFFFF"/>
        <w:spacing w:after="0" w:line="560" w:lineRule="exact"/>
        <w:ind w:firstLineChars="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电商与管理类学生可从事团队绩效分析、招聘与培训运营；</w:t>
      </w:r>
    </w:p>
    <w:p w14:paraId="568B5790">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实现“本专业能力+数智人力技能”的双向增值。</w:t>
      </w:r>
    </w:p>
    <w:p w14:paraId="038563B4">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（3）强化区域就业通道：依托衢州市人力资源产业园及多家合作企业，学生可优先获得企业实训机会、岗位推荐与区域人才需求对接，提升就业落地率与岗位匹配度。</w:t>
      </w:r>
    </w:p>
    <w:p w14:paraId="2D2734DF">
      <w:pPr>
        <w:widowControl/>
        <w:shd w:val="clear" w:color="auto" w:fill="FFFFFF"/>
        <w:spacing w:after="0" w:line="560" w:lineRule="exact"/>
        <w:ind w:firstLine="562" w:firstLineChars="200"/>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3. 升学助力：</w:t>
      </w:r>
    </w:p>
    <w:p w14:paraId="190AD006">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lang w:eastAsia="zh-CN"/>
          <w14:ligatures w14:val="none"/>
        </w:rPr>
      </w:pPr>
      <w:r>
        <w:rPr>
          <w:rFonts w:hint="eastAsia" w:ascii="仿宋_GB2312" w:hAnsi="仿宋_GB2312" w:eastAsia="仿宋_GB2312" w:cs="仿宋_GB2312"/>
          <w:color w:val="0F1115"/>
          <w:kern w:val="0"/>
          <w:sz w:val="28"/>
          <w:szCs w:val="28"/>
          <w14:ligatures w14:val="none"/>
        </w:rPr>
        <w:t>本微专业为学生攻读管理类、数据类等研究生方向提供能力基础与材料支持，为升学竞争力赋能</w:t>
      </w:r>
      <w:r>
        <w:rPr>
          <w:rFonts w:hint="eastAsia" w:ascii="仿宋_GB2312" w:hAnsi="仿宋_GB2312" w:eastAsia="仿宋_GB2312" w:cs="仿宋_GB2312"/>
          <w:color w:val="0F1115"/>
          <w:kern w:val="0"/>
          <w:sz w:val="28"/>
          <w:szCs w:val="28"/>
          <w:lang w:eastAsia="zh-CN"/>
          <w14:ligatures w14:val="none"/>
        </w:rPr>
        <w:t>。</w:t>
      </w:r>
    </w:p>
    <w:p w14:paraId="4BD9612C">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（1）增强跨学科背景优势：具备“本专业+数智人力”的复合结构，有利于申请人力资源管理、公共管理、企业管理、商业分析等研究生项目，在复试中更具说服力。</w:t>
      </w:r>
    </w:p>
    <w:p w14:paraId="3F0FF205">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（2）丰富科研与实践成果：学习过程可形成企业项目报告、人力数据分析案例、数智业务流程优化方案等材料，可作为研究生复试展示内容或实践成果证明。</w:t>
      </w:r>
    </w:p>
    <w:p w14:paraId="0B852FE5">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（3）提升面试表现与学术表达能力：通过课程训练掌握组织管理逻辑、数据分析方法与AI工具应用，能够在复试环节展示较强的问题分析能力、表达逻辑与专业潜力，从而提升录取竞争力。</w:t>
      </w:r>
    </w:p>
    <w:p w14:paraId="54242315">
      <w:pPr>
        <w:widowControl/>
        <w:shd w:val="clear" w:color="auto" w:fill="FFFFFF"/>
        <w:spacing w:after="0" w:line="560" w:lineRule="exact"/>
        <w:ind w:firstLine="600" w:firstLineChars="200"/>
        <w:outlineLvl w:val="1"/>
        <w:rPr>
          <w:rFonts w:hint="eastAsia" w:ascii="黑体" w:hAnsi="黑体" w:eastAsia="黑体" w:cs="Segoe UI"/>
          <w:color w:val="0F1115"/>
          <w:kern w:val="0"/>
          <w:sz w:val="30"/>
          <w:szCs w:val="30"/>
          <w14:ligatures w14:val="none"/>
        </w:rPr>
      </w:pPr>
      <w:r>
        <w:rPr>
          <w:rFonts w:hint="eastAsia" w:ascii="黑体" w:hAnsi="黑体" w:eastAsia="黑体" w:cs="微软雅黑"/>
          <w:color w:val="0F1115"/>
          <w:kern w:val="0"/>
          <w:sz w:val="30"/>
          <w:szCs w:val="30"/>
          <w14:ligatures w14:val="none"/>
        </w:rPr>
        <w:t>四、课程体</w:t>
      </w:r>
      <w:r>
        <w:rPr>
          <w:rFonts w:ascii="黑体" w:hAnsi="黑体" w:eastAsia="黑体" w:cs="微软雅黑"/>
          <w:color w:val="0F1115"/>
          <w:kern w:val="0"/>
          <w:sz w:val="30"/>
          <w:szCs w:val="30"/>
          <w14:ligatures w14:val="none"/>
        </w:rPr>
        <w:t>系</w:t>
      </w:r>
    </w:p>
    <w:p w14:paraId="0962AED4">
      <w:pPr>
        <w:widowControl/>
        <w:shd w:val="clear" w:color="auto" w:fill="FFFFFF"/>
        <w:spacing w:after="0" w:line="560" w:lineRule="exact"/>
        <w:ind w:firstLine="562" w:firstLineChars="200"/>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1. 课程设置</w:t>
      </w:r>
    </w:p>
    <w:tbl>
      <w:tblPr>
        <w:tblStyle w:val="6"/>
        <w:tblW w:w="7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2377"/>
        <w:gridCol w:w="610"/>
        <w:gridCol w:w="970"/>
        <w:gridCol w:w="1160"/>
        <w:gridCol w:w="1338"/>
      </w:tblGrid>
      <w:tr w14:paraId="61C93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765" w:type="dxa"/>
            <w:vAlign w:val="center"/>
          </w:tcPr>
          <w:p w14:paraId="29D9B875">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序号</w:t>
            </w:r>
          </w:p>
        </w:tc>
        <w:tc>
          <w:tcPr>
            <w:tcW w:w="2377" w:type="dxa"/>
            <w:vAlign w:val="center"/>
          </w:tcPr>
          <w:p w14:paraId="2086383F">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课程名称</w:t>
            </w:r>
          </w:p>
        </w:tc>
        <w:tc>
          <w:tcPr>
            <w:tcW w:w="610" w:type="dxa"/>
            <w:vAlign w:val="center"/>
          </w:tcPr>
          <w:p w14:paraId="58289743">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学分</w:t>
            </w:r>
          </w:p>
        </w:tc>
        <w:tc>
          <w:tcPr>
            <w:tcW w:w="970" w:type="dxa"/>
            <w:vAlign w:val="center"/>
          </w:tcPr>
          <w:p w14:paraId="283FBF08">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学时</w:t>
            </w:r>
          </w:p>
        </w:tc>
        <w:tc>
          <w:tcPr>
            <w:tcW w:w="1160" w:type="dxa"/>
            <w:vAlign w:val="center"/>
          </w:tcPr>
          <w:p w14:paraId="309059A5">
            <w:pPr>
              <w:spacing w:after="0" w:line="240" w:lineRule="auto"/>
              <w:jc w:val="center"/>
              <w:rPr>
                <w:rFonts w:hint="eastAsia" w:ascii="仿宋_GB2312" w:hAnsi="仿宋_GB2312" w:eastAsia="仿宋_GB2312" w:cs="仿宋_GB2312"/>
                <w:kern w:val="0"/>
                <w:highlight w:val="yellow"/>
                <w14:ligatures w14:val="none"/>
              </w:rPr>
            </w:pPr>
            <w:r>
              <w:rPr>
                <w:rFonts w:hint="eastAsia" w:ascii="仿宋_GB2312" w:hAnsi="仿宋_GB2312" w:eastAsia="仿宋_GB2312" w:cs="仿宋_GB2312"/>
                <w:kern w:val="0"/>
                <w:highlight w:val="yellow"/>
                <w14:ligatures w14:val="none"/>
              </w:rPr>
              <w:t>开课</w:t>
            </w:r>
          </w:p>
          <w:p w14:paraId="2CCBCA36">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highlight w:val="yellow"/>
                <w14:ligatures w14:val="none"/>
              </w:rPr>
              <w:t>学期</w:t>
            </w:r>
          </w:p>
        </w:tc>
        <w:tc>
          <w:tcPr>
            <w:tcW w:w="1338" w:type="dxa"/>
            <w:vAlign w:val="center"/>
          </w:tcPr>
          <w:p w14:paraId="21194718">
            <w:pPr>
              <w:spacing w:after="0" w:line="240" w:lineRule="auto"/>
              <w:jc w:val="center"/>
              <w:rPr>
                <w:rFonts w:hint="eastAsia" w:ascii="仿宋_GB2312" w:hAnsi="仿宋_GB2312" w:eastAsia="仿宋_GB2312" w:cs="仿宋_GB2312"/>
                <w:kern w:val="0"/>
                <w14:ligatures w14:val="none"/>
              </w:rPr>
            </w:pPr>
            <w:r>
              <w:rPr>
                <w:rFonts w:hint="eastAsia" w:ascii="仿宋_GB2312" w:hAnsi="仿宋_GB2312" w:eastAsia="仿宋_GB2312" w:cs="仿宋_GB2312"/>
                <w:kern w:val="0"/>
                <w14:ligatures w14:val="none"/>
              </w:rPr>
              <w:t>授课方式</w:t>
            </w:r>
          </w:p>
        </w:tc>
      </w:tr>
      <w:tr w14:paraId="1ED0B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765" w:type="dxa"/>
            <w:vAlign w:val="center"/>
          </w:tcPr>
          <w:p w14:paraId="7F3D34C6">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1</w:t>
            </w:r>
          </w:p>
        </w:tc>
        <w:tc>
          <w:tcPr>
            <w:tcW w:w="2377" w:type="dxa"/>
            <w:vAlign w:val="center"/>
          </w:tcPr>
          <w:p w14:paraId="6A1E936D">
            <w:pPr>
              <w:spacing w:after="0" w:line="240" w:lineRule="auto"/>
              <w:jc w:val="center"/>
              <w:rPr>
                <w:rFonts w:hint="eastAsia" w:ascii="仿宋_GB2312" w:hAnsi="仿宋_GB2312" w:eastAsia="仿宋_GB2312" w:cs="仿宋_GB2312"/>
                <w:snapToGrid w:val="0"/>
                <w:color w:val="000000"/>
                <w:kern w:val="0"/>
                <w:sz w:val="21"/>
                <w:szCs w:val="21"/>
                <w14:ligatures w14:val="none"/>
              </w:rPr>
            </w:pPr>
            <w:r>
              <w:rPr>
                <w:rFonts w:hint="eastAsia" w:ascii="仿宋_GB2312" w:hAnsi="仿宋_GB2312" w:eastAsia="仿宋_GB2312" w:cs="仿宋_GB2312"/>
                <w:sz w:val="21"/>
                <w:szCs w:val="21"/>
                <w14:ligatures w14:val="none"/>
              </w:rPr>
              <w:t>数智人力资源管理概论</w:t>
            </w:r>
          </w:p>
        </w:tc>
        <w:tc>
          <w:tcPr>
            <w:tcW w:w="610" w:type="dxa"/>
            <w:vAlign w:val="center"/>
          </w:tcPr>
          <w:p w14:paraId="320AB469">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1</w:t>
            </w:r>
          </w:p>
        </w:tc>
        <w:tc>
          <w:tcPr>
            <w:tcW w:w="970" w:type="dxa"/>
            <w:vAlign w:val="center"/>
          </w:tcPr>
          <w:p w14:paraId="5FB7E4A1">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16</w:t>
            </w:r>
          </w:p>
        </w:tc>
        <w:tc>
          <w:tcPr>
            <w:tcW w:w="1160" w:type="dxa"/>
            <w:vAlign w:val="center"/>
          </w:tcPr>
          <w:p w14:paraId="2CCACF14">
            <w:pPr>
              <w:spacing w:after="0" w:line="240" w:lineRule="auto"/>
              <w:jc w:val="both"/>
              <w:rPr>
                <w:rFonts w:hint="eastAsia" w:ascii="仿宋_GB2312" w:hAnsi="仿宋_GB2312" w:eastAsia="仿宋_GB2312" w:cs="仿宋_GB2312"/>
                <w:kern w:val="0"/>
                <w:szCs w:val="20"/>
                <w14:ligatures w14:val="none"/>
              </w:rPr>
            </w:pPr>
            <w:r>
              <w:rPr>
                <w:rFonts w:hint="eastAsia" w:ascii="仿宋_GB2312" w:hAnsi="仿宋_GB2312" w:eastAsia="仿宋_GB2312" w:cs="仿宋_GB2312"/>
                <w:bCs/>
                <w:sz w:val="21"/>
                <w:szCs w:val="21"/>
                <w14:ligatures w14:val="none"/>
              </w:rPr>
              <w:t>第一学年第一学期</w:t>
            </w:r>
          </w:p>
        </w:tc>
        <w:tc>
          <w:tcPr>
            <w:tcW w:w="1338" w:type="dxa"/>
            <w:vAlign w:val="center"/>
          </w:tcPr>
          <w:p w14:paraId="7B76FCE4">
            <w:pPr>
              <w:spacing w:after="0" w:line="240" w:lineRule="auto"/>
              <w:jc w:val="both"/>
              <w:rPr>
                <w:rFonts w:hint="eastAsia" w:ascii="仿宋_GB2312" w:hAnsi="仿宋_GB2312" w:eastAsia="仿宋_GB2312" w:cs="仿宋_GB2312"/>
                <w:bCs/>
                <w:sz w:val="21"/>
                <w:szCs w:val="21"/>
                <w14:ligatures w14:val="none"/>
              </w:rPr>
            </w:pPr>
            <w:r>
              <w:rPr>
                <w:rFonts w:hint="eastAsia" w:ascii="仿宋_GB2312" w:hAnsi="仿宋_GB2312" w:eastAsia="仿宋_GB2312" w:cs="仿宋_GB2312"/>
                <w:bCs/>
                <w:sz w:val="21"/>
                <w:szCs w:val="21"/>
                <w14:ligatures w14:val="none"/>
              </w:rPr>
              <w:t>线上、线下混合式教学</w:t>
            </w:r>
          </w:p>
        </w:tc>
      </w:tr>
      <w:tr w14:paraId="29EDB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65" w:type="dxa"/>
            <w:vAlign w:val="center"/>
          </w:tcPr>
          <w:p w14:paraId="478C0558">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2</w:t>
            </w:r>
          </w:p>
        </w:tc>
        <w:tc>
          <w:tcPr>
            <w:tcW w:w="2377" w:type="dxa"/>
            <w:vAlign w:val="center"/>
          </w:tcPr>
          <w:p w14:paraId="61B5D6D6">
            <w:pPr>
              <w:spacing w:after="0" w:line="240" w:lineRule="auto"/>
              <w:jc w:val="center"/>
              <w:rPr>
                <w:rFonts w:hint="eastAsia" w:ascii="仿宋_GB2312" w:hAnsi="仿宋_GB2312" w:eastAsia="仿宋_GB2312" w:cs="仿宋_GB2312"/>
                <w:snapToGrid w:val="0"/>
                <w:color w:val="000000"/>
                <w:kern w:val="0"/>
                <w:sz w:val="21"/>
                <w:szCs w:val="21"/>
                <w:lang w:eastAsia="zh-CN"/>
                <w14:ligatures w14:val="none"/>
              </w:rPr>
            </w:pPr>
            <w:r>
              <w:rPr>
                <w:rFonts w:hint="eastAsia" w:ascii="仿宋_GB2312" w:hAnsi="仿宋_GB2312" w:eastAsia="仿宋_GB2312" w:cs="仿宋_GB2312"/>
                <w:snapToGrid w:val="0"/>
                <w:color w:val="000000"/>
                <w:kern w:val="0"/>
                <w:sz w:val="21"/>
                <w:szCs w:val="21"/>
                <w:lang w:eastAsia="zh-CN"/>
                <w14:ligatures w14:val="none"/>
              </w:rPr>
              <w:t>人员素质智能测评系统</w:t>
            </w:r>
          </w:p>
        </w:tc>
        <w:tc>
          <w:tcPr>
            <w:tcW w:w="610" w:type="dxa"/>
            <w:vAlign w:val="center"/>
          </w:tcPr>
          <w:p w14:paraId="17FFAFBA">
            <w:pPr>
              <w:spacing w:after="0" w:line="240" w:lineRule="auto"/>
              <w:jc w:val="center"/>
              <w:rPr>
                <w:rFonts w:hint="eastAsia" w:ascii="仿宋_GB2312" w:hAnsi="仿宋_GB2312" w:eastAsia="仿宋_GB2312" w:cs="仿宋_GB2312"/>
                <w:kern w:val="0"/>
                <w:szCs w:val="20"/>
                <w:lang w:val="en-US" w:eastAsia="zh-CN"/>
                <w14:ligatures w14:val="none"/>
              </w:rPr>
            </w:pPr>
            <w:r>
              <w:rPr>
                <w:rFonts w:hint="eastAsia" w:ascii="仿宋_GB2312" w:hAnsi="仿宋_GB2312" w:eastAsia="仿宋_GB2312" w:cs="仿宋_GB2312"/>
                <w:kern w:val="0"/>
                <w:szCs w:val="20"/>
                <w:lang w:val="en-US" w:eastAsia="zh-CN"/>
                <w14:ligatures w14:val="none"/>
              </w:rPr>
              <w:t>1</w:t>
            </w:r>
          </w:p>
        </w:tc>
        <w:tc>
          <w:tcPr>
            <w:tcW w:w="970" w:type="dxa"/>
            <w:vAlign w:val="center"/>
          </w:tcPr>
          <w:p w14:paraId="47054032">
            <w:pPr>
              <w:spacing w:after="0" w:line="240" w:lineRule="auto"/>
              <w:jc w:val="center"/>
              <w:rPr>
                <w:rFonts w:hint="default" w:ascii="仿宋_GB2312" w:hAnsi="仿宋_GB2312" w:eastAsia="仿宋_GB2312" w:cs="仿宋_GB2312"/>
                <w:kern w:val="0"/>
                <w:szCs w:val="20"/>
                <w:lang w:val="en-US" w:eastAsia="zh-CN"/>
                <w14:ligatures w14:val="none"/>
              </w:rPr>
            </w:pPr>
            <w:r>
              <w:rPr>
                <w:rFonts w:hint="eastAsia" w:ascii="仿宋_GB2312" w:hAnsi="仿宋_GB2312" w:eastAsia="仿宋_GB2312" w:cs="仿宋_GB2312"/>
                <w:kern w:val="0"/>
                <w:szCs w:val="20"/>
                <w:lang w:val="en-US" w:eastAsia="zh-CN"/>
                <w14:ligatures w14:val="none"/>
              </w:rPr>
              <w:t>16</w:t>
            </w:r>
          </w:p>
        </w:tc>
        <w:tc>
          <w:tcPr>
            <w:tcW w:w="1160" w:type="dxa"/>
            <w:vAlign w:val="center"/>
          </w:tcPr>
          <w:p w14:paraId="2F7C9EE6">
            <w:pPr>
              <w:spacing w:after="0" w:line="240" w:lineRule="auto"/>
              <w:jc w:val="both"/>
              <w:rPr>
                <w:rFonts w:hint="eastAsia" w:ascii="仿宋_GB2312" w:hAnsi="仿宋_GB2312" w:eastAsia="仿宋_GB2312" w:cs="仿宋_GB2312"/>
                <w:kern w:val="0"/>
                <w:szCs w:val="20"/>
                <w14:ligatures w14:val="none"/>
              </w:rPr>
            </w:pPr>
            <w:r>
              <w:rPr>
                <w:rFonts w:hint="eastAsia" w:ascii="仿宋_GB2312" w:hAnsi="仿宋_GB2312" w:eastAsia="仿宋_GB2312" w:cs="仿宋_GB2312"/>
                <w:bCs/>
                <w:sz w:val="21"/>
                <w:szCs w:val="21"/>
                <w14:ligatures w14:val="none"/>
              </w:rPr>
              <w:t>第一学年第一学期</w:t>
            </w:r>
          </w:p>
        </w:tc>
        <w:tc>
          <w:tcPr>
            <w:tcW w:w="1338" w:type="dxa"/>
            <w:vAlign w:val="center"/>
          </w:tcPr>
          <w:p w14:paraId="5AE8A423">
            <w:pPr>
              <w:spacing w:after="0" w:line="240" w:lineRule="auto"/>
              <w:jc w:val="both"/>
              <w:rPr>
                <w:rFonts w:hint="eastAsia" w:ascii="仿宋_GB2312" w:hAnsi="仿宋_GB2312" w:eastAsia="仿宋_GB2312" w:cs="仿宋_GB2312"/>
                <w:bCs/>
                <w:sz w:val="21"/>
                <w:szCs w:val="21"/>
                <w14:ligatures w14:val="none"/>
              </w:rPr>
            </w:pPr>
            <w:r>
              <w:rPr>
                <w:rFonts w:hint="eastAsia" w:ascii="仿宋_GB2312" w:hAnsi="仿宋_GB2312" w:eastAsia="仿宋_GB2312" w:cs="仿宋_GB2312"/>
                <w:bCs/>
                <w:sz w:val="21"/>
                <w:szCs w:val="21"/>
                <w14:ligatures w14:val="none"/>
              </w:rPr>
              <w:t>线上、线下混合式教学</w:t>
            </w:r>
          </w:p>
        </w:tc>
      </w:tr>
      <w:tr w14:paraId="6512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765" w:type="dxa"/>
            <w:vAlign w:val="center"/>
          </w:tcPr>
          <w:p w14:paraId="1E9CCE47">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3</w:t>
            </w:r>
          </w:p>
        </w:tc>
        <w:tc>
          <w:tcPr>
            <w:tcW w:w="2377" w:type="dxa"/>
            <w:vAlign w:val="center"/>
          </w:tcPr>
          <w:p w14:paraId="00A23477">
            <w:pPr>
              <w:spacing w:after="0" w:line="240" w:lineRule="auto"/>
              <w:jc w:val="center"/>
              <w:rPr>
                <w:rFonts w:hint="eastAsia" w:ascii="仿宋_GB2312" w:hAnsi="仿宋_GB2312" w:eastAsia="仿宋_GB2312" w:cs="仿宋_GB2312"/>
                <w:snapToGrid w:val="0"/>
                <w:color w:val="000000"/>
                <w:kern w:val="0"/>
                <w:sz w:val="21"/>
                <w:szCs w:val="21"/>
                <w:lang w:eastAsia="zh-CN"/>
                <w14:ligatures w14:val="none"/>
              </w:rPr>
            </w:pPr>
            <w:r>
              <w:rPr>
                <w:rFonts w:hint="eastAsia" w:ascii="仿宋_GB2312" w:hAnsi="仿宋_GB2312" w:eastAsia="仿宋_GB2312" w:cs="仿宋_GB2312"/>
                <w:sz w:val="21"/>
                <w:szCs w:val="21"/>
                <w:lang w:eastAsia="zh-CN"/>
                <w14:ligatures w14:val="none"/>
              </w:rPr>
              <w:t>管理沟通</w:t>
            </w:r>
          </w:p>
        </w:tc>
        <w:tc>
          <w:tcPr>
            <w:tcW w:w="610" w:type="dxa"/>
            <w:vAlign w:val="center"/>
          </w:tcPr>
          <w:p w14:paraId="69C37552">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1</w:t>
            </w:r>
          </w:p>
        </w:tc>
        <w:tc>
          <w:tcPr>
            <w:tcW w:w="970" w:type="dxa"/>
            <w:vAlign w:val="center"/>
          </w:tcPr>
          <w:p w14:paraId="0A78BE8F">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16</w:t>
            </w:r>
          </w:p>
        </w:tc>
        <w:tc>
          <w:tcPr>
            <w:tcW w:w="1160" w:type="dxa"/>
            <w:vAlign w:val="center"/>
          </w:tcPr>
          <w:p w14:paraId="553324E0">
            <w:pPr>
              <w:spacing w:after="0" w:line="240" w:lineRule="auto"/>
              <w:jc w:val="both"/>
              <w:rPr>
                <w:rFonts w:hint="eastAsia" w:ascii="仿宋_GB2312" w:hAnsi="仿宋_GB2312" w:eastAsia="仿宋_GB2312" w:cs="仿宋_GB2312"/>
                <w:kern w:val="0"/>
                <w:szCs w:val="20"/>
                <w14:ligatures w14:val="none"/>
              </w:rPr>
            </w:pPr>
            <w:r>
              <w:rPr>
                <w:rFonts w:hint="eastAsia" w:ascii="仿宋_GB2312" w:hAnsi="仿宋_GB2312" w:eastAsia="仿宋_GB2312" w:cs="仿宋_GB2312"/>
                <w:bCs/>
                <w:sz w:val="21"/>
                <w:szCs w:val="21"/>
                <w14:ligatures w14:val="none"/>
              </w:rPr>
              <w:t>第一学年第一学期</w:t>
            </w:r>
          </w:p>
        </w:tc>
        <w:tc>
          <w:tcPr>
            <w:tcW w:w="1338" w:type="dxa"/>
            <w:vAlign w:val="center"/>
          </w:tcPr>
          <w:p w14:paraId="261A96AB">
            <w:pPr>
              <w:spacing w:after="0" w:line="240" w:lineRule="auto"/>
              <w:jc w:val="both"/>
              <w:rPr>
                <w:rFonts w:hint="eastAsia" w:ascii="仿宋_GB2312" w:hAnsi="仿宋_GB2312" w:eastAsia="仿宋_GB2312" w:cs="仿宋_GB2312"/>
                <w:bCs/>
                <w:sz w:val="21"/>
                <w:szCs w:val="21"/>
                <w14:ligatures w14:val="none"/>
              </w:rPr>
            </w:pPr>
            <w:r>
              <w:rPr>
                <w:rFonts w:hint="eastAsia" w:ascii="仿宋_GB2312" w:hAnsi="仿宋_GB2312" w:eastAsia="仿宋_GB2312" w:cs="仿宋_GB2312"/>
                <w:bCs/>
                <w:sz w:val="21"/>
                <w:szCs w:val="21"/>
                <w14:ligatures w14:val="none"/>
              </w:rPr>
              <w:t>线上、线下混合式教学</w:t>
            </w:r>
          </w:p>
        </w:tc>
      </w:tr>
      <w:tr w14:paraId="6CBF2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765" w:type="dxa"/>
            <w:vAlign w:val="center"/>
          </w:tcPr>
          <w:p w14:paraId="21AE81D6">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4</w:t>
            </w:r>
          </w:p>
        </w:tc>
        <w:tc>
          <w:tcPr>
            <w:tcW w:w="2377" w:type="dxa"/>
            <w:vAlign w:val="center"/>
          </w:tcPr>
          <w:p w14:paraId="3EB7BF24">
            <w:pPr>
              <w:spacing w:after="0" w:line="240" w:lineRule="auto"/>
              <w:jc w:val="center"/>
              <w:rPr>
                <w:rFonts w:hint="eastAsia" w:ascii="仿宋_GB2312" w:hAnsi="仿宋_GB2312" w:eastAsia="仿宋_GB2312" w:cs="仿宋_GB2312"/>
                <w:sz w:val="21"/>
                <w:szCs w:val="21"/>
                <w14:ligatures w14:val="none"/>
              </w:rPr>
            </w:pPr>
            <w:r>
              <w:rPr>
                <w:rFonts w:hint="eastAsia" w:ascii="仿宋_GB2312" w:hAnsi="仿宋_GB2312" w:eastAsia="仿宋_GB2312" w:cs="仿宋_GB2312"/>
                <w:kern w:val="0"/>
                <w:sz w:val="21"/>
                <w:szCs w:val="21"/>
                <w14:ligatures w14:val="none"/>
              </w:rPr>
              <w:t>数智招聘与面试</w:t>
            </w:r>
          </w:p>
        </w:tc>
        <w:tc>
          <w:tcPr>
            <w:tcW w:w="610" w:type="dxa"/>
            <w:vAlign w:val="center"/>
          </w:tcPr>
          <w:p w14:paraId="2A2C9E19">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2</w:t>
            </w:r>
          </w:p>
        </w:tc>
        <w:tc>
          <w:tcPr>
            <w:tcW w:w="970" w:type="dxa"/>
            <w:vAlign w:val="center"/>
          </w:tcPr>
          <w:p w14:paraId="0CB9ECA4">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32</w:t>
            </w:r>
          </w:p>
        </w:tc>
        <w:tc>
          <w:tcPr>
            <w:tcW w:w="1160" w:type="dxa"/>
            <w:vAlign w:val="center"/>
          </w:tcPr>
          <w:p w14:paraId="53B814F6">
            <w:pPr>
              <w:spacing w:after="0" w:line="240" w:lineRule="auto"/>
              <w:jc w:val="both"/>
              <w:rPr>
                <w:rFonts w:hint="eastAsia" w:ascii="仿宋_GB2312" w:hAnsi="仿宋_GB2312" w:eastAsia="仿宋_GB2312" w:cs="仿宋_GB2312"/>
                <w:kern w:val="0"/>
                <w:szCs w:val="20"/>
                <w14:ligatures w14:val="none"/>
              </w:rPr>
            </w:pPr>
            <w:r>
              <w:rPr>
                <w:rFonts w:hint="eastAsia" w:ascii="仿宋_GB2312" w:hAnsi="仿宋_GB2312" w:eastAsia="仿宋_GB2312" w:cs="仿宋_GB2312"/>
                <w:bCs/>
                <w:sz w:val="21"/>
                <w:szCs w:val="21"/>
                <w14:ligatures w14:val="none"/>
              </w:rPr>
              <w:t>第一学年第二学期</w:t>
            </w:r>
          </w:p>
        </w:tc>
        <w:tc>
          <w:tcPr>
            <w:tcW w:w="1338" w:type="dxa"/>
            <w:vAlign w:val="center"/>
          </w:tcPr>
          <w:p w14:paraId="580902D9">
            <w:pPr>
              <w:spacing w:after="0" w:line="240" w:lineRule="auto"/>
              <w:jc w:val="both"/>
              <w:rPr>
                <w:rFonts w:hint="eastAsia" w:ascii="仿宋_GB2312" w:hAnsi="仿宋_GB2312" w:eastAsia="仿宋_GB2312" w:cs="仿宋_GB2312"/>
                <w:bCs/>
                <w:sz w:val="21"/>
                <w:szCs w:val="21"/>
                <w14:ligatures w14:val="none"/>
              </w:rPr>
            </w:pPr>
            <w:r>
              <w:rPr>
                <w:rFonts w:hint="eastAsia" w:ascii="仿宋_GB2312" w:hAnsi="仿宋_GB2312" w:eastAsia="仿宋_GB2312" w:cs="仿宋_GB2312"/>
                <w:bCs/>
                <w:sz w:val="21"/>
                <w:szCs w:val="21"/>
                <w14:ligatures w14:val="none"/>
              </w:rPr>
              <w:t>线上、线下混合式教学</w:t>
            </w:r>
          </w:p>
        </w:tc>
      </w:tr>
      <w:tr w14:paraId="276F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765" w:type="dxa"/>
            <w:vAlign w:val="center"/>
          </w:tcPr>
          <w:p w14:paraId="7BF11B55">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5</w:t>
            </w:r>
          </w:p>
        </w:tc>
        <w:tc>
          <w:tcPr>
            <w:tcW w:w="2377" w:type="dxa"/>
            <w:vAlign w:val="center"/>
          </w:tcPr>
          <w:p w14:paraId="6BB28064">
            <w:pPr>
              <w:spacing w:after="0" w:line="240" w:lineRule="auto"/>
              <w:jc w:val="center"/>
              <w:rPr>
                <w:rFonts w:hint="eastAsia" w:ascii="仿宋_GB2312" w:hAnsi="仿宋_GB2312" w:eastAsia="仿宋_GB2312" w:cs="仿宋_GB2312"/>
                <w:sz w:val="21"/>
                <w:szCs w:val="21"/>
                <w14:ligatures w14:val="none"/>
              </w:rPr>
            </w:pPr>
            <w:r>
              <w:rPr>
                <w:rFonts w:hint="eastAsia" w:ascii="仿宋_GB2312" w:hAnsi="仿宋_GB2312" w:eastAsia="仿宋_GB2312" w:cs="仿宋_GB2312"/>
                <w:sz w:val="21"/>
                <w:szCs w:val="21"/>
                <w14:ligatures w14:val="none"/>
              </w:rPr>
              <w:t>数智人力培训与开发</w:t>
            </w:r>
          </w:p>
        </w:tc>
        <w:tc>
          <w:tcPr>
            <w:tcW w:w="610" w:type="dxa"/>
            <w:vAlign w:val="center"/>
          </w:tcPr>
          <w:p w14:paraId="39F4678D">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2</w:t>
            </w:r>
          </w:p>
        </w:tc>
        <w:tc>
          <w:tcPr>
            <w:tcW w:w="970" w:type="dxa"/>
            <w:vAlign w:val="center"/>
          </w:tcPr>
          <w:p w14:paraId="7035635D">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32</w:t>
            </w:r>
          </w:p>
        </w:tc>
        <w:tc>
          <w:tcPr>
            <w:tcW w:w="1160" w:type="dxa"/>
            <w:vAlign w:val="center"/>
          </w:tcPr>
          <w:p w14:paraId="4B31CA24">
            <w:pPr>
              <w:spacing w:after="0" w:line="240" w:lineRule="auto"/>
              <w:jc w:val="both"/>
              <w:rPr>
                <w:rFonts w:hint="eastAsia" w:ascii="仿宋_GB2312" w:hAnsi="仿宋_GB2312" w:eastAsia="仿宋_GB2312" w:cs="仿宋_GB2312"/>
                <w:kern w:val="0"/>
                <w:szCs w:val="20"/>
                <w14:ligatures w14:val="none"/>
              </w:rPr>
            </w:pPr>
            <w:r>
              <w:rPr>
                <w:rFonts w:hint="eastAsia" w:ascii="仿宋_GB2312" w:hAnsi="仿宋_GB2312" w:eastAsia="仿宋_GB2312" w:cs="仿宋_GB2312"/>
                <w:bCs/>
                <w:sz w:val="21"/>
                <w:szCs w:val="21"/>
                <w14:ligatures w14:val="none"/>
              </w:rPr>
              <w:t>第一学年第二学期</w:t>
            </w:r>
          </w:p>
        </w:tc>
        <w:tc>
          <w:tcPr>
            <w:tcW w:w="1338" w:type="dxa"/>
            <w:vAlign w:val="center"/>
          </w:tcPr>
          <w:p w14:paraId="50249B86">
            <w:pPr>
              <w:spacing w:after="0" w:line="240" w:lineRule="auto"/>
              <w:jc w:val="both"/>
              <w:rPr>
                <w:rFonts w:hint="eastAsia" w:ascii="仿宋_GB2312" w:hAnsi="仿宋_GB2312" w:eastAsia="仿宋_GB2312" w:cs="仿宋_GB2312"/>
                <w:bCs/>
                <w:sz w:val="21"/>
                <w:szCs w:val="21"/>
                <w14:ligatures w14:val="none"/>
              </w:rPr>
            </w:pPr>
            <w:r>
              <w:rPr>
                <w:rFonts w:hint="eastAsia" w:ascii="仿宋_GB2312" w:hAnsi="仿宋_GB2312" w:eastAsia="仿宋_GB2312" w:cs="仿宋_GB2312"/>
                <w:bCs/>
                <w:sz w:val="21"/>
                <w:szCs w:val="21"/>
                <w14:ligatures w14:val="none"/>
              </w:rPr>
              <w:t>线上、线下混合式教学</w:t>
            </w:r>
          </w:p>
        </w:tc>
      </w:tr>
      <w:tr w14:paraId="496C9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765" w:type="dxa"/>
            <w:vAlign w:val="center"/>
          </w:tcPr>
          <w:p w14:paraId="6FEB9C41">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6</w:t>
            </w:r>
          </w:p>
        </w:tc>
        <w:tc>
          <w:tcPr>
            <w:tcW w:w="2377" w:type="dxa"/>
            <w:vAlign w:val="center"/>
          </w:tcPr>
          <w:p w14:paraId="3CD66997">
            <w:pPr>
              <w:spacing w:after="0" w:line="240" w:lineRule="auto"/>
              <w:jc w:val="center"/>
              <w:rPr>
                <w:rFonts w:hint="eastAsia" w:ascii="仿宋_GB2312" w:hAnsi="仿宋_GB2312" w:eastAsia="仿宋_GB2312" w:cs="仿宋_GB2312"/>
                <w:sz w:val="21"/>
                <w:szCs w:val="21"/>
                <w14:ligatures w14:val="none"/>
              </w:rPr>
            </w:pPr>
            <w:r>
              <w:rPr>
                <w:rFonts w:hint="eastAsia" w:ascii="仿宋_GB2312" w:hAnsi="仿宋_GB2312" w:eastAsia="仿宋_GB2312" w:cs="仿宋_GB2312"/>
                <w:sz w:val="21"/>
                <w:szCs w:val="21"/>
                <w14:ligatures w14:val="none"/>
              </w:rPr>
              <w:t>数智绩效与薪酬管理</w:t>
            </w:r>
          </w:p>
        </w:tc>
        <w:tc>
          <w:tcPr>
            <w:tcW w:w="610" w:type="dxa"/>
            <w:vAlign w:val="center"/>
          </w:tcPr>
          <w:p w14:paraId="089DA8FD">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2</w:t>
            </w:r>
          </w:p>
        </w:tc>
        <w:tc>
          <w:tcPr>
            <w:tcW w:w="970" w:type="dxa"/>
            <w:vAlign w:val="center"/>
          </w:tcPr>
          <w:p w14:paraId="2368B14D">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32</w:t>
            </w:r>
          </w:p>
        </w:tc>
        <w:tc>
          <w:tcPr>
            <w:tcW w:w="1160" w:type="dxa"/>
            <w:vAlign w:val="center"/>
          </w:tcPr>
          <w:p w14:paraId="0266A414">
            <w:pPr>
              <w:spacing w:after="0" w:line="240" w:lineRule="auto"/>
              <w:jc w:val="both"/>
              <w:rPr>
                <w:rFonts w:hint="eastAsia" w:ascii="仿宋_GB2312" w:hAnsi="仿宋_GB2312" w:eastAsia="仿宋_GB2312" w:cs="仿宋_GB2312"/>
                <w:kern w:val="0"/>
                <w:szCs w:val="20"/>
                <w14:ligatures w14:val="none"/>
              </w:rPr>
            </w:pPr>
            <w:r>
              <w:rPr>
                <w:rFonts w:hint="eastAsia" w:ascii="仿宋_GB2312" w:hAnsi="仿宋_GB2312" w:eastAsia="仿宋_GB2312" w:cs="仿宋_GB2312"/>
                <w:bCs/>
                <w:sz w:val="21"/>
                <w:szCs w:val="21"/>
                <w14:ligatures w14:val="none"/>
              </w:rPr>
              <w:t>第一学年第二学期</w:t>
            </w:r>
          </w:p>
        </w:tc>
        <w:tc>
          <w:tcPr>
            <w:tcW w:w="1338" w:type="dxa"/>
            <w:vAlign w:val="center"/>
          </w:tcPr>
          <w:p w14:paraId="36B14338">
            <w:pPr>
              <w:spacing w:after="0" w:line="240" w:lineRule="auto"/>
              <w:jc w:val="both"/>
              <w:rPr>
                <w:rFonts w:hint="eastAsia" w:ascii="仿宋_GB2312" w:hAnsi="仿宋_GB2312" w:eastAsia="仿宋_GB2312" w:cs="仿宋_GB2312"/>
                <w:bCs/>
                <w:sz w:val="21"/>
                <w:szCs w:val="21"/>
                <w14:ligatures w14:val="none"/>
              </w:rPr>
            </w:pPr>
            <w:r>
              <w:rPr>
                <w:rFonts w:hint="eastAsia" w:ascii="仿宋_GB2312" w:hAnsi="仿宋_GB2312" w:eastAsia="仿宋_GB2312" w:cs="仿宋_GB2312"/>
                <w:bCs/>
                <w:sz w:val="21"/>
                <w:szCs w:val="21"/>
                <w14:ligatures w14:val="none"/>
              </w:rPr>
              <w:t>线上、线下混合式教学</w:t>
            </w:r>
          </w:p>
        </w:tc>
      </w:tr>
      <w:tr w14:paraId="412B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765" w:type="dxa"/>
            <w:vAlign w:val="center"/>
          </w:tcPr>
          <w:p w14:paraId="3E6DCB36">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7</w:t>
            </w:r>
          </w:p>
        </w:tc>
        <w:tc>
          <w:tcPr>
            <w:tcW w:w="2377" w:type="dxa"/>
            <w:vAlign w:val="center"/>
          </w:tcPr>
          <w:p w14:paraId="1519A020">
            <w:pPr>
              <w:spacing w:after="0" w:line="240" w:lineRule="auto"/>
              <w:jc w:val="center"/>
              <w:rPr>
                <w:rFonts w:hint="eastAsia" w:ascii="仿宋_GB2312" w:hAnsi="仿宋_GB2312" w:eastAsia="仿宋_GB2312" w:cs="仿宋_GB2312"/>
                <w:sz w:val="21"/>
                <w:szCs w:val="21"/>
                <w14:ligatures w14:val="none"/>
              </w:rPr>
            </w:pPr>
            <w:r>
              <w:rPr>
                <w:rFonts w:hint="eastAsia" w:ascii="仿宋_GB2312" w:hAnsi="仿宋_GB2312" w:eastAsia="仿宋_GB2312" w:cs="仿宋_GB2312"/>
                <w:sz w:val="21"/>
                <w:szCs w:val="21"/>
                <w14:ligatures w14:val="none"/>
              </w:rPr>
              <w:t>劳动关系管理</w:t>
            </w:r>
          </w:p>
        </w:tc>
        <w:tc>
          <w:tcPr>
            <w:tcW w:w="610" w:type="dxa"/>
            <w:vAlign w:val="center"/>
          </w:tcPr>
          <w:p w14:paraId="1320A65F">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2</w:t>
            </w:r>
          </w:p>
        </w:tc>
        <w:tc>
          <w:tcPr>
            <w:tcW w:w="970" w:type="dxa"/>
            <w:vAlign w:val="center"/>
          </w:tcPr>
          <w:p w14:paraId="669B4D92">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32</w:t>
            </w:r>
          </w:p>
        </w:tc>
        <w:tc>
          <w:tcPr>
            <w:tcW w:w="1160" w:type="dxa"/>
            <w:vAlign w:val="center"/>
          </w:tcPr>
          <w:p w14:paraId="6EFBC9AE">
            <w:pPr>
              <w:spacing w:after="0" w:line="240" w:lineRule="auto"/>
              <w:jc w:val="both"/>
              <w:rPr>
                <w:rFonts w:hint="eastAsia" w:ascii="仿宋_GB2312" w:hAnsi="仿宋_GB2312" w:eastAsia="仿宋_GB2312" w:cs="仿宋_GB2312"/>
                <w:bCs/>
                <w:sz w:val="21"/>
                <w:szCs w:val="21"/>
                <w14:ligatures w14:val="none"/>
              </w:rPr>
            </w:pPr>
            <w:r>
              <w:rPr>
                <w:rFonts w:hint="eastAsia" w:ascii="仿宋_GB2312" w:hAnsi="仿宋_GB2312" w:eastAsia="仿宋_GB2312" w:cs="仿宋_GB2312"/>
                <w:bCs/>
                <w:sz w:val="21"/>
                <w:szCs w:val="21"/>
                <w14:ligatures w14:val="none"/>
              </w:rPr>
              <w:t>第一学年第二学期</w:t>
            </w:r>
          </w:p>
        </w:tc>
        <w:tc>
          <w:tcPr>
            <w:tcW w:w="1338" w:type="dxa"/>
            <w:vAlign w:val="center"/>
          </w:tcPr>
          <w:p w14:paraId="4C750AC7">
            <w:pPr>
              <w:spacing w:after="0" w:line="240" w:lineRule="auto"/>
              <w:jc w:val="both"/>
              <w:rPr>
                <w:rFonts w:hint="eastAsia" w:ascii="仿宋_GB2312" w:hAnsi="仿宋_GB2312" w:eastAsia="仿宋_GB2312" w:cs="仿宋_GB2312"/>
                <w:bCs/>
                <w:sz w:val="21"/>
                <w:szCs w:val="21"/>
                <w14:ligatures w14:val="none"/>
              </w:rPr>
            </w:pPr>
            <w:r>
              <w:rPr>
                <w:rFonts w:hint="eastAsia" w:ascii="仿宋_GB2312" w:hAnsi="仿宋_GB2312" w:eastAsia="仿宋_GB2312" w:cs="仿宋_GB2312"/>
                <w:bCs/>
                <w:sz w:val="21"/>
                <w:szCs w:val="21"/>
                <w14:ligatures w14:val="none"/>
              </w:rPr>
              <w:t>线上、线下混合式教学</w:t>
            </w:r>
          </w:p>
        </w:tc>
      </w:tr>
      <w:tr w14:paraId="78097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765" w:type="dxa"/>
            <w:vAlign w:val="center"/>
          </w:tcPr>
          <w:p w14:paraId="1B7B6F1A">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8</w:t>
            </w:r>
          </w:p>
        </w:tc>
        <w:tc>
          <w:tcPr>
            <w:tcW w:w="2377" w:type="dxa"/>
            <w:vAlign w:val="center"/>
          </w:tcPr>
          <w:p w14:paraId="6961EA32">
            <w:pPr>
              <w:spacing w:after="0" w:line="240" w:lineRule="auto"/>
              <w:jc w:val="center"/>
              <w:rPr>
                <w:rFonts w:hint="eastAsia" w:ascii="仿宋_GB2312" w:hAnsi="仿宋_GB2312" w:eastAsia="仿宋_GB2312" w:cs="仿宋_GB2312"/>
                <w:sz w:val="21"/>
                <w:szCs w:val="21"/>
                <w14:ligatures w14:val="none"/>
              </w:rPr>
            </w:pPr>
            <w:r>
              <w:rPr>
                <w:rFonts w:hint="eastAsia" w:ascii="仿宋_GB2312" w:hAnsi="仿宋_GB2312" w:eastAsia="仿宋_GB2312" w:cs="仿宋_GB2312"/>
                <w:sz w:val="21"/>
                <w:szCs w:val="21"/>
                <w14:ligatures w14:val="none"/>
              </w:rPr>
              <w:t>数智人力资源管理综合实训</w:t>
            </w:r>
          </w:p>
        </w:tc>
        <w:tc>
          <w:tcPr>
            <w:tcW w:w="610" w:type="dxa"/>
            <w:vAlign w:val="center"/>
          </w:tcPr>
          <w:p w14:paraId="6C627161">
            <w:pPr>
              <w:spacing w:after="0" w:line="240" w:lineRule="auto"/>
              <w:jc w:val="center"/>
              <w:rPr>
                <w:rFonts w:hint="default" w:ascii="仿宋_GB2312" w:hAnsi="仿宋_GB2312" w:eastAsia="仿宋_GB2312" w:cs="仿宋_GB2312"/>
                <w:kern w:val="0"/>
                <w:szCs w:val="20"/>
                <w:lang w:val="en-US" w:eastAsia="zh-CN"/>
                <w14:ligatures w14:val="none"/>
              </w:rPr>
            </w:pPr>
            <w:r>
              <w:rPr>
                <w:rFonts w:hint="eastAsia" w:ascii="仿宋_GB2312" w:hAnsi="仿宋_GB2312" w:eastAsia="仿宋_GB2312" w:cs="仿宋_GB2312"/>
                <w:kern w:val="0"/>
                <w:szCs w:val="20"/>
                <w:lang w:val="en-US" w:eastAsia="zh-CN"/>
                <w14:ligatures w14:val="none"/>
              </w:rPr>
              <w:t>2</w:t>
            </w:r>
          </w:p>
        </w:tc>
        <w:tc>
          <w:tcPr>
            <w:tcW w:w="970" w:type="dxa"/>
            <w:vAlign w:val="center"/>
          </w:tcPr>
          <w:p w14:paraId="17A481B0">
            <w:pPr>
              <w:spacing w:after="0" w:line="240" w:lineRule="auto"/>
              <w:jc w:val="center"/>
              <w:rPr>
                <w:rFonts w:hint="default" w:ascii="仿宋_GB2312" w:hAnsi="仿宋_GB2312" w:eastAsia="仿宋_GB2312" w:cs="仿宋_GB2312"/>
                <w:kern w:val="0"/>
                <w:szCs w:val="20"/>
                <w:lang w:val="en-US" w:eastAsia="zh-CN"/>
                <w14:ligatures w14:val="none"/>
              </w:rPr>
            </w:pPr>
            <w:r>
              <w:rPr>
                <w:rFonts w:hint="eastAsia" w:ascii="仿宋_GB2312" w:hAnsi="仿宋_GB2312" w:eastAsia="仿宋_GB2312" w:cs="仿宋_GB2312"/>
                <w:kern w:val="0"/>
                <w:szCs w:val="20"/>
                <w:lang w:val="en-US" w:eastAsia="zh-CN"/>
                <w14:ligatures w14:val="none"/>
              </w:rPr>
              <w:t>32</w:t>
            </w:r>
          </w:p>
        </w:tc>
        <w:tc>
          <w:tcPr>
            <w:tcW w:w="1160" w:type="dxa"/>
            <w:vAlign w:val="center"/>
          </w:tcPr>
          <w:p w14:paraId="1D1002B3">
            <w:pPr>
              <w:spacing w:after="0" w:line="240" w:lineRule="auto"/>
              <w:jc w:val="both"/>
              <w:rPr>
                <w:rFonts w:hint="eastAsia" w:ascii="仿宋_GB2312" w:hAnsi="仿宋_GB2312" w:eastAsia="仿宋_GB2312" w:cs="仿宋_GB2312"/>
                <w:bCs/>
                <w:sz w:val="21"/>
                <w:szCs w:val="21"/>
                <w14:ligatures w14:val="none"/>
              </w:rPr>
            </w:pPr>
            <w:r>
              <w:rPr>
                <w:rFonts w:hint="eastAsia" w:ascii="仿宋_GB2312" w:hAnsi="仿宋_GB2312" w:eastAsia="仿宋_GB2312" w:cs="仿宋_GB2312"/>
                <w:bCs/>
                <w:sz w:val="21"/>
                <w:szCs w:val="21"/>
                <w14:ligatures w14:val="none"/>
              </w:rPr>
              <w:t>第一学年第二学期</w:t>
            </w:r>
          </w:p>
        </w:tc>
        <w:tc>
          <w:tcPr>
            <w:tcW w:w="1338" w:type="dxa"/>
            <w:vAlign w:val="center"/>
          </w:tcPr>
          <w:p w14:paraId="0A4444A1">
            <w:pPr>
              <w:spacing w:after="0" w:line="240" w:lineRule="auto"/>
              <w:jc w:val="both"/>
              <w:rPr>
                <w:rFonts w:hint="eastAsia" w:ascii="仿宋_GB2312" w:hAnsi="仿宋_GB2312" w:eastAsia="仿宋_GB2312" w:cs="仿宋_GB2312"/>
                <w:bCs/>
                <w:sz w:val="21"/>
                <w:szCs w:val="21"/>
                <w14:ligatures w14:val="none"/>
              </w:rPr>
            </w:pPr>
            <w:r>
              <w:rPr>
                <w:rFonts w:hint="eastAsia" w:ascii="仿宋_GB2312" w:hAnsi="仿宋_GB2312" w:eastAsia="仿宋_GB2312" w:cs="仿宋_GB2312"/>
                <w:bCs/>
                <w:sz w:val="21"/>
                <w:szCs w:val="21"/>
                <w14:ligatures w14:val="none"/>
              </w:rPr>
              <w:t>线上、线下混合式教学</w:t>
            </w:r>
          </w:p>
        </w:tc>
      </w:tr>
      <w:tr w14:paraId="63111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3142" w:type="dxa"/>
            <w:gridSpan w:val="2"/>
            <w:vAlign w:val="center"/>
          </w:tcPr>
          <w:p w14:paraId="67140431">
            <w:pPr>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合计</w:t>
            </w:r>
          </w:p>
        </w:tc>
        <w:tc>
          <w:tcPr>
            <w:tcW w:w="610" w:type="dxa"/>
            <w:vAlign w:val="center"/>
          </w:tcPr>
          <w:p w14:paraId="05F1CC15">
            <w:pPr>
              <w:spacing w:after="0" w:line="240" w:lineRule="auto"/>
              <w:jc w:val="center"/>
              <w:rPr>
                <w:rFonts w:hint="eastAsia" w:ascii="仿宋_GB2312" w:hAnsi="仿宋_GB2312" w:eastAsia="仿宋_GB2312" w:cs="仿宋_GB2312"/>
                <w:kern w:val="0"/>
                <w:szCs w:val="20"/>
                <w:lang w:val="en-US" w:eastAsia="zh-CN"/>
                <w14:ligatures w14:val="none"/>
              </w:rPr>
            </w:pPr>
            <w:r>
              <w:rPr>
                <w:rFonts w:hint="eastAsia" w:ascii="仿宋_GB2312" w:hAnsi="仿宋_GB2312" w:eastAsia="仿宋_GB2312" w:cs="仿宋_GB2312"/>
                <w:kern w:val="0"/>
                <w:szCs w:val="20"/>
                <w14:ligatures w14:val="none"/>
              </w:rPr>
              <w:t>1</w:t>
            </w:r>
            <w:r>
              <w:rPr>
                <w:rFonts w:hint="eastAsia" w:ascii="仿宋_GB2312" w:hAnsi="仿宋_GB2312" w:eastAsia="仿宋_GB2312" w:cs="仿宋_GB2312"/>
                <w:kern w:val="0"/>
                <w:szCs w:val="20"/>
                <w:lang w:val="en-US" w:eastAsia="zh-CN"/>
                <w14:ligatures w14:val="none"/>
              </w:rPr>
              <w:t>3</w:t>
            </w:r>
          </w:p>
        </w:tc>
        <w:tc>
          <w:tcPr>
            <w:tcW w:w="970" w:type="dxa"/>
            <w:vAlign w:val="center"/>
          </w:tcPr>
          <w:p w14:paraId="282EF3E8">
            <w:pPr>
              <w:spacing w:after="0" w:line="240" w:lineRule="auto"/>
              <w:jc w:val="center"/>
              <w:rPr>
                <w:rFonts w:hint="default" w:ascii="仿宋_GB2312" w:hAnsi="仿宋_GB2312" w:eastAsia="仿宋_GB2312" w:cs="仿宋_GB2312"/>
                <w:kern w:val="0"/>
                <w:szCs w:val="20"/>
                <w:lang w:val="en-US" w:eastAsia="zh-CN"/>
                <w14:ligatures w14:val="none"/>
              </w:rPr>
            </w:pPr>
            <w:r>
              <w:rPr>
                <w:rFonts w:hint="eastAsia" w:ascii="仿宋_GB2312" w:hAnsi="仿宋_GB2312" w:eastAsia="仿宋_GB2312" w:cs="仿宋_GB2312"/>
                <w:kern w:val="0"/>
                <w:szCs w:val="20"/>
                <w14:ligatures w14:val="none"/>
              </w:rPr>
              <w:t>2</w:t>
            </w:r>
            <w:r>
              <w:rPr>
                <w:rFonts w:hint="eastAsia" w:ascii="仿宋_GB2312" w:hAnsi="仿宋_GB2312" w:eastAsia="仿宋_GB2312" w:cs="仿宋_GB2312"/>
                <w:kern w:val="0"/>
                <w:szCs w:val="20"/>
                <w:lang w:val="en-US" w:eastAsia="zh-CN"/>
                <w14:ligatures w14:val="none"/>
              </w:rPr>
              <w:t>08</w:t>
            </w:r>
          </w:p>
        </w:tc>
        <w:tc>
          <w:tcPr>
            <w:tcW w:w="1160" w:type="dxa"/>
            <w:vAlign w:val="center"/>
          </w:tcPr>
          <w:p w14:paraId="2C4FE08D">
            <w:pPr>
              <w:widowControl/>
              <w:spacing w:after="0" w:line="240" w:lineRule="auto"/>
              <w:jc w:val="center"/>
              <w:rPr>
                <w:rFonts w:hint="eastAsia" w:ascii="仿宋_GB2312" w:hAnsi="仿宋_GB2312" w:eastAsia="仿宋_GB2312" w:cs="仿宋_GB2312"/>
                <w:kern w:val="0"/>
                <w:szCs w:val="20"/>
                <w14:ligatures w14:val="none"/>
              </w:rPr>
            </w:pPr>
            <w:r>
              <w:rPr>
                <w:rFonts w:hint="eastAsia" w:ascii="仿宋_GB2312" w:hAnsi="仿宋_GB2312" w:eastAsia="仿宋_GB2312" w:cs="仿宋_GB2312"/>
                <w:kern w:val="0"/>
                <w:szCs w:val="20"/>
                <w14:ligatures w14:val="none"/>
              </w:rPr>
              <w:t>-</w:t>
            </w:r>
          </w:p>
        </w:tc>
        <w:tc>
          <w:tcPr>
            <w:tcW w:w="1338" w:type="dxa"/>
            <w:vAlign w:val="center"/>
          </w:tcPr>
          <w:p w14:paraId="0F664FD3">
            <w:pPr>
              <w:widowControl/>
              <w:spacing w:after="0" w:line="240" w:lineRule="auto"/>
              <w:jc w:val="center"/>
              <w:rPr>
                <w:rFonts w:hint="eastAsia" w:ascii="仿宋_GB2312" w:hAnsi="仿宋_GB2312" w:eastAsia="仿宋_GB2312" w:cs="仿宋_GB2312"/>
                <w:b/>
                <w:spacing w:val="20"/>
                <w:sz w:val="18"/>
                <w:szCs w:val="18"/>
                <w14:ligatures w14:val="none"/>
              </w:rPr>
            </w:pPr>
            <w:r>
              <w:rPr>
                <w:rFonts w:hint="eastAsia" w:ascii="仿宋_GB2312" w:hAnsi="仿宋_GB2312" w:eastAsia="仿宋_GB2312" w:cs="仿宋_GB2312"/>
                <w:kern w:val="0"/>
                <w:szCs w:val="20"/>
                <w14:ligatures w14:val="none"/>
              </w:rPr>
              <w:t>-</w:t>
            </w:r>
          </w:p>
        </w:tc>
      </w:tr>
    </w:tbl>
    <w:p w14:paraId="6949E569">
      <w:pPr>
        <w:widowControl/>
        <w:shd w:val="clear" w:color="auto" w:fill="FFFFFF"/>
        <w:spacing w:after="0" w:line="400" w:lineRule="exact"/>
        <w:rPr>
          <w:rFonts w:ascii="Segoe UI" w:hAnsi="Segoe UI" w:eastAsia="Times New Roman" w:cs="Segoe UI"/>
          <w:color w:val="0F1115"/>
          <w:kern w:val="0"/>
          <w14:ligatures w14:val="none"/>
        </w:rPr>
      </w:pPr>
    </w:p>
    <w:p w14:paraId="52F2CEED">
      <w:pPr>
        <w:widowControl/>
        <w:shd w:val="clear" w:color="auto" w:fill="FFFFFF"/>
        <w:spacing w:after="0" w:line="560" w:lineRule="exact"/>
        <w:ind w:firstLine="562" w:firstLineChars="200"/>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2. 课程特色</w:t>
      </w:r>
    </w:p>
    <w:p w14:paraId="5E053B58">
      <w:pPr>
        <w:widowControl/>
        <w:shd w:val="clear" w:color="auto" w:fill="FFFFFF"/>
        <w:spacing w:after="0" w:line="560" w:lineRule="exact"/>
        <w:ind w:firstLine="562" w:firstLineChars="200"/>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（1）结构清晰的“三阶段递进式”课程体系</w:t>
      </w:r>
    </w:p>
    <w:p w14:paraId="09C27A16">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课程体系以“基础认知—核心技能—综合实战”为主线：</w:t>
      </w:r>
    </w:p>
    <w:p w14:paraId="12D4428C">
      <w:pPr>
        <w:pStyle w:val="14"/>
        <w:widowControl/>
        <w:numPr>
          <w:ilvl w:val="0"/>
          <w:numId w:val="2"/>
        </w:numPr>
        <w:shd w:val="clear" w:color="auto" w:fill="FFFFFF"/>
        <w:spacing w:after="0" w:line="560" w:lineRule="exact"/>
        <w:ind w:firstLineChars="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基础认知阶段：</w:t>
      </w:r>
      <w:r>
        <w:rPr>
          <w:rFonts w:hint="eastAsia" w:ascii="仿宋_GB2312" w:hAnsi="仿宋_GB2312" w:eastAsia="仿宋_GB2312" w:cs="仿宋_GB2312"/>
          <w:color w:val="0F1115"/>
          <w:kern w:val="0"/>
          <w:sz w:val="28"/>
          <w:szCs w:val="28"/>
          <w14:ligatures w14:val="none"/>
        </w:rPr>
        <w:t>建立人力资源管理、组织行为学与数智化趋势的基本认知，掌握AI工具与数据分析基础技能。</w:t>
      </w:r>
    </w:p>
    <w:p w14:paraId="30C285F8">
      <w:pPr>
        <w:pStyle w:val="14"/>
        <w:widowControl/>
        <w:numPr>
          <w:ilvl w:val="0"/>
          <w:numId w:val="2"/>
        </w:numPr>
        <w:shd w:val="clear" w:color="auto" w:fill="FFFFFF"/>
        <w:spacing w:after="0" w:line="560" w:lineRule="exact"/>
        <w:ind w:firstLineChars="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核心技能阶段：</w:t>
      </w:r>
      <w:r>
        <w:rPr>
          <w:rFonts w:hint="eastAsia" w:ascii="仿宋_GB2312" w:hAnsi="仿宋_GB2312" w:eastAsia="仿宋_GB2312" w:cs="仿宋_GB2312"/>
          <w:color w:val="0F1115"/>
          <w:kern w:val="0"/>
          <w:sz w:val="28"/>
          <w:szCs w:val="28"/>
          <w14:ligatures w14:val="none"/>
        </w:rPr>
        <w:t>深入学习招聘数字化、绩效与薪酬数字化管理、人力数据分析、HR系统应用等岗位所需关键能力。</w:t>
      </w:r>
    </w:p>
    <w:p w14:paraId="28EA8C77">
      <w:pPr>
        <w:pStyle w:val="14"/>
        <w:widowControl/>
        <w:numPr>
          <w:ilvl w:val="0"/>
          <w:numId w:val="2"/>
        </w:numPr>
        <w:shd w:val="clear" w:color="auto" w:fill="FFFFFF"/>
        <w:spacing w:after="0" w:line="560" w:lineRule="exact"/>
        <w:ind w:firstLineChars="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综合实战阶段：</w:t>
      </w:r>
      <w:r>
        <w:rPr>
          <w:rFonts w:hint="eastAsia" w:ascii="仿宋_GB2312" w:hAnsi="仿宋_GB2312" w:eastAsia="仿宋_GB2312" w:cs="仿宋_GB2312"/>
          <w:color w:val="0F1115"/>
          <w:kern w:val="0"/>
          <w:sz w:val="28"/>
          <w:szCs w:val="28"/>
          <w14:ligatures w14:val="none"/>
        </w:rPr>
        <w:t>依托企业真实项目或数智人力综合实训平台，完成从需求分析、数据处理到方案设计与呈现的完整实践任务，实现“学以致用”。</w:t>
      </w:r>
    </w:p>
    <w:p w14:paraId="53D2B0B9">
      <w:pPr>
        <w:widowControl/>
        <w:shd w:val="clear" w:color="auto" w:fill="FFFFFF"/>
        <w:spacing w:after="0" w:line="560" w:lineRule="exact"/>
        <w:ind w:firstLine="562" w:firstLineChars="200"/>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（2）强调实操的“工具驱动型”教学方式</w:t>
      </w:r>
    </w:p>
    <w:p w14:paraId="54D2976D">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每门课程均突出工具实训，学生将使用AI办公工具、人力资源信息系统（HRIS）、招聘管理系统（ATS）、绩效薪酬系统以及数据分析工具进行操作训练。</w:t>
      </w:r>
    </w:p>
    <w:p w14:paraId="2E0811DB">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实践学时占比显著提升，突出“会用工具、能做业务”的能力培养方向，使学生在课程结束后即可独立完成岗位常见任务。</w:t>
      </w:r>
    </w:p>
    <w:p w14:paraId="08A461FE">
      <w:pPr>
        <w:widowControl/>
        <w:shd w:val="clear" w:color="auto" w:fill="FFFFFF"/>
        <w:spacing w:after="0" w:line="560" w:lineRule="exact"/>
        <w:ind w:firstLine="562" w:firstLineChars="200"/>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（3）紧贴行业场景的“真实业务案例嵌入式”教学</w:t>
      </w:r>
    </w:p>
    <w:p w14:paraId="254FF3DD">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课程围绕企业真实业务需求开展教学，选取招聘、员工关系、培训运营、绩效管理和薪酬核算等典型场景，为学生提供可直接套用的业务经验。</w:t>
      </w:r>
    </w:p>
    <w:p w14:paraId="6A23BE6D">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例如：</w:t>
      </w:r>
    </w:p>
    <w:p w14:paraId="784D5C79">
      <w:pPr>
        <w:pStyle w:val="14"/>
        <w:widowControl/>
        <w:numPr>
          <w:ilvl w:val="0"/>
          <w:numId w:val="3"/>
        </w:numPr>
        <w:shd w:val="clear" w:color="auto" w:fill="FFFFFF"/>
        <w:spacing w:after="0" w:line="560" w:lineRule="exact"/>
        <w:ind w:firstLineChars="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招聘课程引入企业真实职位与面试流程；</w:t>
      </w:r>
    </w:p>
    <w:p w14:paraId="46C4B2EC">
      <w:pPr>
        <w:pStyle w:val="14"/>
        <w:widowControl/>
        <w:numPr>
          <w:ilvl w:val="0"/>
          <w:numId w:val="3"/>
        </w:numPr>
        <w:shd w:val="clear" w:color="auto" w:fill="FFFFFF"/>
        <w:spacing w:after="0" w:line="560" w:lineRule="exact"/>
        <w:ind w:firstLineChars="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数据课程基于真实组织数据集开展分析；</w:t>
      </w:r>
    </w:p>
    <w:p w14:paraId="3979B846">
      <w:pPr>
        <w:pStyle w:val="14"/>
        <w:widowControl/>
        <w:numPr>
          <w:ilvl w:val="0"/>
          <w:numId w:val="3"/>
        </w:numPr>
        <w:shd w:val="clear" w:color="auto" w:fill="FFFFFF"/>
        <w:spacing w:after="0" w:line="560" w:lineRule="exact"/>
        <w:ind w:firstLineChars="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绩效薪酬课程模拟企业KPI设定与薪酬核算流程；</w:t>
      </w:r>
    </w:p>
    <w:p w14:paraId="0D9F2828">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让学生在学习过程中就能体验到企业真实工作逻辑，提高岗位适配度。</w:t>
      </w:r>
    </w:p>
    <w:p w14:paraId="4282C7BC">
      <w:pPr>
        <w:widowControl/>
        <w:shd w:val="clear" w:color="auto" w:fill="FFFFFF"/>
        <w:spacing w:after="0" w:line="560" w:lineRule="exact"/>
        <w:ind w:firstLine="562" w:firstLineChars="200"/>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（4）产教协同的“校企联合育人模式”</w:t>
      </w:r>
    </w:p>
    <w:p w14:paraId="2E35491F">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依托衢州市人力资源服务产业园及合作企业资源，将行业专家、企业HRD等引入课堂，通过专题讲座、项目共建、实训指导等方式，帮助学生理解岗位需求与行业趋势。</w:t>
      </w:r>
    </w:p>
    <w:p w14:paraId="33E82FFC">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学生在校即可接触企业流程、工具与项目，为未来实习和就业打下扎实基础。</w:t>
      </w:r>
    </w:p>
    <w:p w14:paraId="42B1538C">
      <w:pPr>
        <w:widowControl/>
        <w:shd w:val="clear" w:color="auto" w:fill="FFFFFF"/>
        <w:spacing w:after="0" w:line="560" w:lineRule="exact"/>
        <w:ind w:firstLine="602" w:firstLineChars="200"/>
        <w:jc w:val="both"/>
        <w:outlineLvl w:val="1"/>
        <w:rPr>
          <w:rFonts w:hint="eastAsia" w:ascii="黑体" w:hAnsi="黑体" w:eastAsia="黑体" w:cs="Segoe UI"/>
          <w:b/>
          <w:bCs/>
          <w:color w:val="0F1115"/>
          <w:kern w:val="0"/>
          <w:sz w:val="30"/>
          <w:szCs w:val="30"/>
          <w14:ligatures w14:val="none"/>
        </w:rPr>
      </w:pPr>
      <w:r>
        <w:rPr>
          <w:rFonts w:hint="eastAsia" w:ascii="黑体" w:hAnsi="黑体" w:eastAsia="黑体" w:cs="微软雅黑"/>
          <w:b/>
          <w:bCs/>
          <w:color w:val="0F1115"/>
          <w:kern w:val="0"/>
          <w:sz w:val="30"/>
          <w:szCs w:val="30"/>
          <w14:ligatures w14:val="none"/>
        </w:rPr>
        <w:t>五、师资力</w:t>
      </w:r>
      <w:r>
        <w:rPr>
          <w:rFonts w:ascii="黑体" w:hAnsi="黑体" w:eastAsia="黑体" w:cs="微软雅黑"/>
          <w:b/>
          <w:bCs/>
          <w:color w:val="0F1115"/>
          <w:kern w:val="0"/>
          <w:sz w:val="30"/>
          <w:szCs w:val="30"/>
          <w14:ligatures w14:val="none"/>
        </w:rPr>
        <w:t>量</w:t>
      </w:r>
    </w:p>
    <w:p w14:paraId="3CD09ECB">
      <w:pPr>
        <w:widowControl/>
        <w:shd w:val="clear" w:color="auto" w:fill="FFFFFF"/>
        <w:spacing w:after="0" w:line="560" w:lineRule="exact"/>
        <w:ind w:firstLine="562" w:firstLineChars="200"/>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1. 校内专业师资团队保障课程质量</w:t>
      </w:r>
    </w:p>
    <w:p w14:paraId="31CCD867">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lang w:eastAsia="zh-CN"/>
          <w14:ligatures w14:val="none"/>
        </w:rPr>
      </w:pPr>
      <w:r>
        <w:rPr>
          <w:rFonts w:hint="eastAsia" w:ascii="仿宋_GB2312" w:hAnsi="仿宋_GB2312" w:eastAsia="仿宋_GB2312" w:cs="仿宋_GB2312"/>
          <w:color w:val="0F1115"/>
          <w:kern w:val="0"/>
          <w:sz w:val="28"/>
          <w:szCs w:val="28"/>
          <w14:ligatures w14:val="none"/>
        </w:rPr>
        <w:t>本微专业由衢州学院人力资源管理省一流本科专业核心教师团队负责建设与授课。共有专兼职教师28人（企业</w:t>
      </w:r>
      <w:r>
        <w:rPr>
          <w:rFonts w:hint="eastAsia" w:ascii="仿宋_GB2312" w:hAnsi="仿宋_GB2312" w:eastAsia="仿宋_GB2312" w:cs="仿宋_GB2312"/>
          <w:color w:val="0F1115"/>
          <w:kern w:val="0"/>
          <w:sz w:val="28"/>
          <w:szCs w:val="28"/>
          <w:lang w:eastAsia="zh-CN"/>
          <w14:ligatures w14:val="none"/>
        </w:rPr>
        <w:t>导师</w:t>
      </w:r>
      <w:r>
        <w:rPr>
          <w:rFonts w:hint="eastAsia" w:ascii="仿宋_GB2312" w:hAnsi="仿宋_GB2312" w:eastAsia="仿宋_GB2312" w:cs="仿宋_GB2312"/>
          <w:color w:val="0F1115"/>
          <w:kern w:val="0"/>
          <w:sz w:val="28"/>
          <w:szCs w:val="28"/>
          <w:lang w:val="en-US" w:eastAsia="zh-CN"/>
          <w14:ligatures w14:val="none"/>
        </w:rPr>
        <w:t>9</w:t>
      </w:r>
      <w:r>
        <w:rPr>
          <w:rFonts w:hint="eastAsia" w:ascii="仿宋_GB2312" w:hAnsi="仿宋_GB2312" w:eastAsia="仿宋_GB2312" w:cs="仿宋_GB2312"/>
          <w:color w:val="0F1115"/>
          <w:kern w:val="0"/>
          <w:sz w:val="28"/>
          <w:szCs w:val="28"/>
          <w14:ligatures w14:val="none"/>
        </w:rPr>
        <w:t>人），其中</w:t>
      </w:r>
      <w:r>
        <w:rPr>
          <w:rFonts w:hint="eastAsia" w:ascii="仿宋_GB2312" w:hAnsi="仿宋_GB2312" w:eastAsia="仿宋_GB2312" w:cs="仿宋_GB2312"/>
          <w:color w:val="0F1115"/>
          <w:kern w:val="0"/>
          <w:sz w:val="28"/>
          <w:szCs w:val="28"/>
          <w:lang w:eastAsia="zh-CN"/>
          <w14:ligatures w14:val="none"/>
        </w:rPr>
        <w:t>专任教师</w:t>
      </w:r>
      <w:r>
        <w:rPr>
          <w:rFonts w:hint="eastAsia" w:ascii="仿宋_GB2312" w:hAnsi="仿宋_GB2312" w:eastAsia="仿宋_GB2312" w:cs="仿宋_GB2312"/>
          <w:color w:val="0F1115"/>
          <w:kern w:val="0"/>
          <w:sz w:val="28"/>
          <w:szCs w:val="28"/>
          <w:lang w:val="en-US" w:eastAsia="zh-CN"/>
          <w14:ligatures w14:val="none"/>
        </w:rPr>
        <w:t>19人，</w:t>
      </w:r>
      <w:r>
        <w:rPr>
          <w:rFonts w:hint="eastAsia" w:ascii="仿宋_GB2312" w:hAnsi="仿宋_GB2312" w:eastAsia="仿宋_GB2312" w:cs="仿宋_GB2312"/>
          <w:color w:val="0F1115"/>
          <w:kern w:val="0"/>
          <w:sz w:val="28"/>
          <w:szCs w:val="28"/>
          <w14:ligatures w14:val="none"/>
        </w:rPr>
        <w:t>教授</w:t>
      </w:r>
      <w:r>
        <w:rPr>
          <w:rFonts w:hint="eastAsia" w:ascii="仿宋_GB2312" w:hAnsi="仿宋_GB2312" w:eastAsia="仿宋_GB2312" w:cs="仿宋_GB2312"/>
          <w:color w:val="0F1115"/>
          <w:kern w:val="0"/>
          <w:sz w:val="28"/>
          <w:szCs w:val="28"/>
          <w:lang w:val="en-US" w:eastAsia="zh-CN"/>
          <w14:ligatures w14:val="none"/>
        </w:rPr>
        <w:t>4</w:t>
      </w:r>
      <w:r>
        <w:rPr>
          <w:rFonts w:hint="eastAsia" w:ascii="仿宋_GB2312" w:hAnsi="仿宋_GB2312" w:eastAsia="仿宋_GB2312" w:cs="仿宋_GB2312"/>
          <w:color w:val="0F1115"/>
          <w:kern w:val="0"/>
          <w:sz w:val="28"/>
          <w:szCs w:val="28"/>
          <w14:ligatures w14:val="none"/>
        </w:rPr>
        <w:t>人、副教授</w:t>
      </w:r>
      <w:r>
        <w:rPr>
          <w:rFonts w:hint="eastAsia" w:ascii="仿宋_GB2312" w:hAnsi="仿宋_GB2312" w:eastAsia="仿宋_GB2312" w:cs="仿宋_GB2312"/>
          <w:color w:val="0F1115"/>
          <w:kern w:val="0"/>
          <w:sz w:val="28"/>
          <w:szCs w:val="28"/>
          <w:lang w:val="en-US" w:eastAsia="zh-CN"/>
          <w14:ligatures w14:val="none"/>
        </w:rPr>
        <w:t>9</w:t>
      </w:r>
      <w:r>
        <w:rPr>
          <w:rFonts w:hint="eastAsia" w:ascii="仿宋_GB2312" w:hAnsi="仿宋_GB2312" w:eastAsia="仿宋_GB2312" w:cs="仿宋_GB2312"/>
          <w:color w:val="0F1115"/>
          <w:kern w:val="0"/>
          <w:sz w:val="28"/>
          <w:szCs w:val="28"/>
          <w14:ligatures w14:val="none"/>
        </w:rPr>
        <w:t>人、博士</w:t>
      </w:r>
      <w:r>
        <w:rPr>
          <w:rFonts w:hint="eastAsia" w:ascii="仿宋_GB2312" w:hAnsi="仿宋_GB2312" w:eastAsia="仿宋_GB2312" w:cs="仿宋_GB2312"/>
          <w:color w:val="0F1115"/>
          <w:kern w:val="0"/>
          <w:sz w:val="28"/>
          <w:szCs w:val="28"/>
          <w:lang w:val="en-US" w:eastAsia="zh-CN"/>
          <w14:ligatures w14:val="none"/>
        </w:rPr>
        <w:t>12</w:t>
      </w:r>
      <w:r>
        <w:rPr>
          <w:rFonts w:hint="eastAsia" w:ascii="仿宋_GB2312" w:hAnsi="仿宋_GB2312" w:eastAsia="仿宋_GB2312" w:cs="仿宋_GB2312"/>
          <w:color w:val="0F1115"/>
          <w:kern w:val="0"/>
          <w:sz w:val="28"/>
          <w:szCs w:val="28"/>
          <w14:ligatures w14:val="none"/>
        </w:rPr>
        <w:t>人。</w:t>
      </w:r>
      <w:r>
        <w:rPr>
          <w:rFonts w:hint="eastAsia" w:ascii="仿宋_GB2312" w:hAnsi="仿宋_GB2312" w:eastAsia="仿宋_GB2312" w:cs="仿宋_GB2312"/>
          <w:color w:val="0F1115"/>
          <w:kern w:val="0"/>
          <w:sz w:val="28"/>
          <w:szCs w:val="28"/>
          <w:lang w:eastAsia="zh-CN"/>
          <w14:ligatures w14:val="none"/>
        </w:rPr>
        <w:t>团队教师</w:t>
      </w:r>
      <w:r>
        <w:rPr>
          <w:rFonts w:hint="eastAsia" w:ascii="仿宋_GB2312" w:hAnsi="仿宋_GB2312" w:eastAsia="仿宋_GB2312" w:cs="仿宋_GB2312"/>
          <w:color w:val="0F1115"/>
          <w:kern w:val="0"/>
          <w:sz w:val="28"/>
          <w:szCs w:val="28"/>
          <w14:ligatures w14:val="none"/>
        </w:rPr>
        <w:t>主持多项国家级、省级科研与教改项目，在</w:t>
      </w:r>
      <w:r>
        <w:rPr>
          <w:rFonts w:hint="eastAsia" w:ascii="仿宋_GB2312" w:hAnsi="仿宋_GB2312" w:eastAsia="仿宋_GB2312" w:cs="仿宋_GB2312"/>
          <w:color w:val="0F1115"/>
          <w:kern w:val="0"/>
          <w:sz w:val="28"/>
          <w:szCs w:val="28"/>
          <w:lang w:eastAsia="zh-CN"/>
          <w14:ligatures w14:val="none"/>
        </w:rPr>
        <w:t>面试甑选、</w:t>
      </w:r>
      <w:r>
        <w:rPr>
          <w:rFonts w:hint="eastAsia" w:ascii="仿宋_GB2312" w:hAnsi="仿宋_GB2312" w:eastAsia="仿宋_GB2312" w:cs="仿宋_GB2312"/>
          <w:color w:val="0F1115"/>
          <w:kern w:val="0"/>
          <w:sz w:val="28"/>
          <w:szCs w:val="28"/>
          <w14:ligatures w14:val="none"/>
        </w:rPr>
        <w:t>人才测评、绩效管理等方向具有扎实的理论基础和丰富的实务经验</w:t>
      </w:r>
      <w:r>
        <w:rPr>
          <w:rFonts w:hint="eastAsia" w:ascii="仿宋_GB2312" w:hAnsi="仿宋_GB2312" w:eastAsia="仿宋_GB2312" w:cs="仿宋_GB2312"/>
          <w:color w:val="0F1115"/>
          <w:kern w:val="0"/>
          <w:sz w:val="28"/>
          <w:szCs w:val="28"/>
          <w:lang w:eastAsia="zh-CN"/>
          <w14:ligatures w14:val="none"/>
        </w:rPr>
        <w:t>。</w:t>
      </w:r>
    </w:p>
    <w:p w14:paraId="2FF0B5A4">
      <w:pPr>
        <w:widowControl/>
        <w:shd w:val="clear" w:color="auto" w:fill="FFFFFF"/>
        <w:spacing w:after="0" w:line="560" w:lineRule="exact"/>
        <w:ind w:firstLine="562" w:firstLineChars="200"/>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2. 企业实践导师深度参与教学</w:t>
      </w:r>
    </w:p>
    <w:p w14:paraId="40751AA3">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依托衢州市人力资源服务产业园，与</w:t>
      </w:r>
      <w:r>
        <w:rPr>
          <w:rFonts w:hint="eastAsia" w:ascii="仿宋_GB2312" w:hAnsi="仿宋_GB2312" w:eastAsia="仿宋_GB2312" w:cs="仿宋_GB2312"/>
          <w:color w:val="0F1115"/>
          <w:kern w:val="0"/>
          <w:sz w:val="28"/>
          <w:szCs w:val="28"/>
          <w:lang w:eastAsia="zh-CN"/>
          <w14:ligatures w14:val="none"/>
        </w:rPr>
        <w:t>中国农业银行衢州分行、中国联通衢州分公司</w:t>
      </w:r>
      <w:r>
        <w:rPr>
          <w:rFonts w:hint="eastAsia" w:ascii="仿宋_GB2312" w:hAnsi="仿宋_GB2312" w:eastAsia="仿宋_GB2312" w:cs="仿宋_GB2312"/>
          <w:color w:val="0F1115"/>
          <w:kern w:val="0"/>
          <w:sz w:val="28"/>
          <w:szCs w:val="28"/>
          <w14:ligatures w14:val="none"/>
        </w:rPr>
        <w:t>等</w:t>
      </w:r>
      <w:r>
        <w:rPr>
          <w:rFonts w:hint="eastAsia" w:ascii="仿宋_GB2312" w:hAnsi="仿宋_GB2312" w:eastAsia="仿宋_GB2312" w:cs="仿宋_GB2312"/>
          <w:color w:val="0F1115"/>
          <w:kern w:val="0"/>
          <w:sz w:val="28"/>
          <w:szCs w:val="28"/>
          <w:lang w:eastAsia="zh-CN"/>
          <w14:ligatures w14:val="none"/>
        </w:rPr>
        <w:t>多家</w:t>
      </w:r>
      <w:r>
        <w:rPr>
          <w:rFonts w:hint="eastAsia" w:ascii="仿宋_GB2312" w:hAnsi="仿宋_GB2312" w:eastAsia="仿宋_GB2312" w:cs="仿宋_GB2312"/>
          <w:color w:val="0F1115"/>
          <w:kern w:val="0"/>
          <w:sz w:val="28"/>
          <w:szCs w:val="28"/>
          <w14:ligatures w14:val="none"/>
        </w:rPr>
        <w:t>企业共建“校企协同育人”机制，聘请行业专家、人力资源主管、HR 系统实施顾问等担任实践导师，负责项目教学、案例讲解、工具训练与职业技能指导，帮助学生理解企业真实业务场景与岗位需求。</w:t>
      </w:r>
    </w:p>
    <w:p w14:paraId="7552CABF">
      <w:pPr>
        <w:widowControl/>
        <w:shd w:val="clear" w:color="auto" w:fill="FFFFFF"/>
        <w:spacing w:after="0" w:line="560" w:lineRule="exact"/>
        <w:ind w:firstLine="562" w:firstLineChars="200"/>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3. 多元化背景确保复合型教学优势</w:t>
      </w:r>
    </w:p>
    <w:p w14:paraId="0439062A">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师资团队涵盖管理学、人力资源、数据分析、组织发展、企业数字化转型等多个领域，支持学生在课程中获得“人力业务+数智技术”的交叉学习体验。同时，部分教师具备企业咨询、HR SaaS系统落地等项目经验，可为学生提供更具实战价值的学习内容与专业指导。</w:t>
      </w:r>
    </w:p>
    <w:p w14:paraId="263382C4">
      <w:pPr>
        <w:widowControl/>
        <w:shd w:val="clear" w:color="auto" w:fill="FFFFFF"/>
        <w:spacing w:after="0" w:line="560" w:lineRule="exact"/>
        <w:ind w:firstLine="562" w:firstLineChars="200"/>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4. 持续更新的行业资源与专业支持</w:t>
      </w:r>
    </w:p>
    <w:p w14:paraId="1047F826">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通过学院与产业园区的长期合作，课程将持续引入企业最新人力数字化应用案例、行业趋势与岗位标准，保证学生接受到与企业需求同步的专业训练，使其更具市场竞争力和岗位适配力。</w:t>
      </w:r>
    </w:p>
    <w:p w14:paraId="2EB8C73B">
      <w:pPr>
        <w:widowControl/>
        <w:shd w:val="clear" w:color="auto" w:fill="FFFFFF"/>
        <w:spacing w:after="0" w:line="560" w:lineRule="exact"/>
        <w:ind w:firstLine="602" w:firstLineChars="200"/>
        <w:outlineLvl w:val="1"/>
        <w:rPr>
          <w:rFonts w:hint="eastAsia" w:ascii="黑体" w:hAnsi="黑体" w:eastAsia="黑体" w:cs="Segoe UI"/>
          <w:b/>
          <w:bCs/>
          <w:color w:val="0F1115"/>
          <w:kern w:val="0"/>
          <w:sz w:val="30"/>
          <w:szCs w:val="30"/>
          <w14:ligatures w14:val="none"/>
        </w:rPr>
      </w:pPr>
      <w:r>
        <w:rPr>
          <w:rFonts w:hint="eastAsia" w:ascii="黑体" w:hAnsi="黑体" w:eastAsia="黑体" w:cs="微软雅黑"/>
          <w:b/>
          <w:bCs/>
          <w:color w:val="0F1115"/>
          <w:kern w:val="0"/>
          <w:sz w:val="30"/>
          <w:szCs w:val="30"/>
          <w14:ligatures w14:val="none"/>
        </w:rPr>
        <w:t>六、核心优势与亮</w:t>
      </w:r>
      <w:r>
        <w:rPr>
          <w:rFonts w:ascii="黑体" w:hAnsi="黑体" w:eastAsia="黑体" w:cs="微软雅黑"/>
          <w:b/>
          <w:bCs/>
          <w:color w:val="0F1115"/>
          <w:kern w:val="0"/>
          <w:sz w:val="30"/>
          <w:szCs w:val="30"/>
          <w14:ligatures w14:val="none"/>
        </w:rPr>
        <w:t>点</w:t>
      </w:r>
    </w:p>
    <w:p w14:paraId="23FB8B2F">
      <w:pPr>
        <w:widowControl/>
        <w:shd w:val="clear" w:color="auto" w:fill="FFFFFF"/>
        <w:spacing w:after="0" w:line="560" w:lineRule="exact"/>
        <w:ind w:firstLine="562" w:firstLineChars="200"/>
        <w:jc w:val="both"/>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1. 轻量化结构，跨专业友好</w:t>
      </w:r>
    </w:p>
    <w:p w14:paraId="04173EAE">
      <w:pPr>
        <w:widowControl/>
        <w:shd w:val="clear" w:color="auto" w:fill="FFFFFF"/>
        <w:spacing w:after="0" w:line="560" w:lineRule="exact"/>
        <w:ind w:firstLine="560" w:firstLineChars="200"/>
        <w:jc w:val="both"/>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课程体系紧凑、学分适中，采取“基础—核心—实践”递进式设计，学习压力可控，非人力专业学生也能轻松入门并快速掌握必备技能。</w:t>
      </w:r>
    </w:p>
    <w:p w14:paraId="57D82DF1">
      <w:pPr>
        <w:widowControl/>
        <w:shd w:val="clear" w:color="auto" w:fill="FFFFFF"/>
        <w:spacing w:after="0" w:line="560" w:lineRule="exact"/>
        <w:ind w:firstLine="562" w:firstLineChars="200"/>
        <w:jc w:val="both"/>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2. 数智工具驱动，实操占比高</w:t>
      </w:r>
    </w:p>
    <w:p w14:paraId="1B674A66">
      <w:pPr>
        <w:widowControl/>
        <w:shd w:val="clear" w:color="auto" w:fill="FFFFFF"/>
        <w:spacing w:after="0" w:line="560" w:lineRule="exact"/>
        <w:ind w:firstLine="560" w:firstLineChars="200"/>
        <w:jc w:val="both"/>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课程全面融入AI办公工具、HR信息系统、招聘与绩效数字化工具等，强调实践操作，确保“学得懂、能上手、用得出”。</w:t>
      </w:r>
    </w:p>
    <w:p w14:paraId="18E76824">
      <w:pPr>
        <w:widowControl/>
        <w:shd w:val="clear" w:color="auto" w:fill="FFFFFF"/>
        <w:spacing w:after="0" w:line="560" w:lineRule="exact"/>
        <w:ind w:firstLine="562" w:firstLineChars="200"/>
        <w:jc w:val="both"/>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3. 岗位导向明确，对接企业需求</w:t>
      </w:r>
    </w:p>
    <w:p w14:paraId="0092DD56">
      <w:pPr>
        <w:widowControl/>
        <w:shd w:val="clear" w:color="auto" w:fill="FFFFFF"/>
        <w:spacing w:after="0" w:line="560" w:lineRule="exact"/>
        <w:ind w:firstLine="560" w:firstLineChars="200"/>
        <w:jc w:val="both"/>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围绕招聘、绩效、薪酬、培训运营、人力数据分析等企业高频场景设计课程，使用真实案例与项目任务，培养学生解决实际工作问题的能力。</w:t>
      </w:r>
    </w:p>
    <w:p w14:paraId="030DE913">
      <w:pPr>
        <w:widowControl/>
        <w:shd w:val="clear" w:color="auto" w:fill="FFFFFF"/>
        <w:spacing w:after="0" w:line="560" w:lineRule="exact"/>
        <w:ind w:firstLine="562" w:firstLineChars="200"/>
        <w:jc w:val="both"/>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4. 产教协同显著，实践资源丰富</w:t>
      </w:r>
    </w:p>
    <w:p w14:paraId="47B32128">
      <w:pPr>
        <w:widowControl/>
        <w:shd w:val="clear" w:color="auto" w:fill="FFFFFF"/>
        <w:spacing w:after="0" w:line="560" w:lineRule="exact"/>
        <w:ind w:firstLine="560" w:firstLineChars="200"/>
        <w:jc w:val="both"/>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依托衢州市人力资源服务产业园和合作企业，本项目提供企业项目参与、专家讲座、实训指导等资源，让学生在校即可接触真实业务场景。</w:t>
      </w:r>
    </w:p>
    <w:p w14:paraId="66CD78AB">
      <w:pPr>
        <w:widowControl/>
        <w:shd w:val="clear" w:color="auto" w:fill="FFFFFF"/>
        <w:spacing w:after="0" w:line="560" w:lineRule="exact"/>
        <w:ind w:firstLine="562" w:firstLineChars="200"/>
        <w:jc w:val="both"/>
        <w:rPr>
          <w:rFonts w:hint="eastAsia" w:ascii="仿宋_GB2312" w:hAnsi="仿宋_GB2312" w:eastAsia="仿宋_GB2312" w:cs="仿宋_GB2312"/>
          <w:b/>
          <w:bCs/>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5. 就业升学双促进，发展路径清晰</w:t>
      </w:r>
    </w:p>
    <w:p w14:paraId="3FA75F11">
      <w:pPr>
        <w:widowControl/>
        <w:shd w:val="clear" w:color="auto" w:fill="FFFFFF"/>
        <w:spacing w:after="0" w:line="560" w:lineRule="exact"/>
        <w:ind w:firstLine="560" w:firstLineChars="200"/>
        <w:jc w:val="both"/>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color w:val="0F1115"/>
          <w:kern w:val="0"/>
          <w:sz w:val="28"/>
          <w:szCs w:val="28"/>
          <w14:ligatures w14:val="none"/>
        </w:rPr>
        <w:t>课程成果可直接用于就业求职（如项目经历、数据分析报告等），同时也为攻读管理类、数据类研究生提供知识基础与展示材料，赋能学生未来发展。</w:t>
      </w:r>
    </w:p>
    <w:p w14:paraId="7AA70C79">
      <w:pPr>
        <w:widowControl/>
        <w:shd w:val="clear" w:color="auto" w:fill="FFFFFF"/>
        <w:spacing w:after="0" w:line="560" w:lineRule="exact"/>
        <w:ind w:firstLine="602" w:firstLineChars="200"/>
        <w:outlineLvl w:val="1"/>
        <w:rPr>
          <w:rFonts w:hint="eastAsia" w:ascii="黑体" w:hAnsi="黑体" w:eastAsia="黑体" w:cs="Segoe UI"/>
          <w:b/>
          <w:bCs/>
          <w:color w:val="0F1115"/>
          <w:kern w:val="0"/>
          <w:sz w:val="30"/>
          <w:szCs w:val="30"/>
          <w14:ligatures w14:val="none"/>
        </w:rPr>
      </w:pPr>
      <w:r>
        <w:rPr>
          <w:rFonts w:hint="eastAsia" w:ascii="黑体" w:hAnsi="黑体" w:eastAsia="黑体" w:cs="微软雅黑"/>
          <w:b/>
          <w:bCs/>
          <w:color w:val="0F1115"/>
          <w:kern w:val="0"/>
          <w:sz w:val="30"/>
          <w:szCs w:val="30"/>
          <w14:ligatures w14:val="none"/>
        </w:rPr>
        <w:t>七、报名与咨</w:t>
      </w:r>
      <w:r>
        <w:rPr>
          <w:rFonts w:ascii="黑体" w:hAnsi="黑体" w:eastAsia="黑体" w:cs="微软雅黑"/>
          <w:b/>
          <w:bCs/>
          <w:color w:val="0F1115"/>
          <w:kern w:val="0"/>
          <w:sz w:val="30"/>
          <w:szCs w:val="30"/>
          <w14:ligatures w14:val="none"/>
        </w:rPr>
        <w:t>询</w:t>
      </w:r>
    </w:p>
    <w:p w14:paraId="586105B5">
      <w:pPr>
        <w:widowControl/>
        <w:shd w:val="clear" w:color="auto" w:fill="FFFFFF"/>
        <w:spacing w:after="0" w:line="560" w:lineRule="exact"/>
        <w:ind w:firstLine="562"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招生对象：</w:t>
      </w:r>
      <w:r>
        <w:rPr>
          <w:rFonts w:hint="eastAsia" w:ascii="仿宋_GB2312" w:hAnsi="仿宋_GB2312" w:eastAsia="仿宋_GB2312" w:cs="仿宋_GB2312"/>
          <w:color w:val="0F1115"/>
          <w:kern w:val="0"/>
          <w:sz w:val="28"/>
          <w:szCs w:val="28"/>
          <w14:ligatures w14:val="none"/>
        </w:rPr>
        <w:t>全校大三、大四非</w:t>
      </w:r>
      <w:r>
        <w:rPr>
          <w:rFonts w:hint="eastAsia" w:ascii="仿宋_GB2312" w:hAnsi="仿宋_GB2312" w:eastAsia="仿宋_GB2312" w:cs="仿宋_GB2312"/>
          <w:color w:val="0F1115"/>
          <w:kern w:val="0"/>
          <w:sz w:val="28"/>
          <w:szCs w:val="28"/>
          <w:lang w:eastAsia="zh-CN"/>
          <w14:ligatures w14:val="none"/>
        </w:rPr>
        <w:t>人力</w:t>
      </w:r>
      <w:r>
        <w:rPr>
          <w:rFonts w:hint="eastAsia" w:ascii="仿宋_GB2312" w:hAnsi="仿宋_GB2312" w:eastAsia="仿宋_GB2312" w:cs="仿宋_GB2312"/>
          <w:color w:val="0F1115"/>
          <w:kern w:val="0"/>
          <w:sz w:val="28"/>
          <w:szCs w:val="28"/>
          <w14:ligatures w14:val="none"/>
        </w:rPr>
        <w:t>专业本科生</w:t>
      </w:r>
    </w:p>
    <w:p w14:paraId="18ECD94F">
      <w:pPr>
        <w:widowControl/>
        <w:shd w:val="clear" w:color="auto" w:fill="FFFFFF"/>
        <w:spacing w:after="0" w:line="560" w:lineRule="exact"/>
        <w:ind w:firstLine="562" w:firstLineChars="200"/>
        <w:rPr>
          <w:rFonts w:hint="eastAsia" w:ascii="仿宋_GB2312" w:hAnsi="仿宋_GB2312" w:eastAsia="仿宋_GB2312" w:cs="仿宋_GB2312"/>
          <w:color w:val="0F1115"/>
          <w:kern w:val="0"/>
          <w:sz w:val="28"/>
          <w:szCs w:val="28"/>
          <w14:ligatures w14:val="none"/>
        </w:rPr>
      </w:pPr>
      <w:r>
        <w:rPr>
          <w:rFonts w:hint="eastAsia" w:ascii="仿宋_GB2312" w:hAnsi="仿宋_GB2312" w:eastAsia="仿宋_GB2312" w:cs="仿宋_GB2312"/>
          <w:b/>
          <w:bCs/>
          <w:color w:val="0F1115"/>
          <w:kern w:val="0"/>
          <w:sz w:val="28"/>
          <w:szCs w:val="28"/>
          <w14:ligatures w14:val="none"/>
        </w:rPr>
        <w:t>招生规模：</w:t>
      </w:r>
      <w:r>
        <w:rPr>
          <w:rFonts w:hint="eastAsia" w:ascii="仿宋_GB2312" w:hAnsi="仿宋_GB2312" w:eastAsia="仿宋_GB2312" w:cs="仿宋_GB2312"/>
          <w:color w:val="0F1115"/>
          <w:kern w:val="0"/>
          <w:sz w:val="28"/>
          <w:szCs w:val="28"/>
          <w14:ligatures w14:val="none"/>
        </w:rPr>
        <w:t>每届</w:t>
      </w:r>
      <w:r>
        <w:rPr>
          <w:rFonts w:hint="eastAsia" w:ascii="仿宋_GB2312" w:hAnsi="仿宋_GB2312" w:eastAsia="仿宋_GB2312" w:cs="仿宋_GB2312"/>
          <w:color w:val="0F1115"/>
          <w:kern w:val="0"/>
          <w:sz w:val="28"/>
          <w:szCs w:val="28"/>
          <w:lang w:val="en-US" w:eastAsia="zh-CN"/>
          <w14:ligatures w14:val="none"/>
        </w:rPr>
        <w:t>15</w:t>
      </w:r>
      <w:bookmarkStart w:id="0" w:name="_GoBack"/>
      <w:bookmarkEnd w:id="0"/>
      <w:r>
        <w:rPr>
          <w:rFonts w:hint="eastAsia" w:ascii="仿宋_GB2312" w:hAnsi="仿宋_GB2312" w:eastAsia="仿宋_GB2312" w:cs="仿宋_GB2312"/>
          <w:color w:val="0F1115"/>
          <w:kern w:val="0"/>
          <w:sz w:val="28"/>
          <w:szCs w:val="28"/>
          <w14:ligatures w14:val="none"/>
        </w:rPr>
        <w:t>人</w:t>
      </w:r>
    </w:p>
    <w:p w14:paraId="678F043C">
      <w:pPr>
        <w:keepNext w:val="0"/>
        <w:keepLines w:val="0"/>
        <w:pageBreakBefore w:val="0"/>
        <w:widowControl/>
        <w:shd w:val="clear" w:color="auto" w:fill="FFFFFF"/>
        <w:kinsoku/>
        <w:wordWrap/>
        <w:overflowPunct/>
        <w:topLinePunct w:val="0"/>
        <w:autoSpaceDE/>
        <w:autoSpaceDN/>
        <w:bidi w:val="0"/>
        <w:adjustRightInd/>
        <w:snapToGrid/>
        <w:spacing w:after="0" w:afterAutospacing="0" w:line="560" w:lineRule="exact"/>
        <w:ind w:firstLine="560" w:firstLineChars="200"/>
        <w:textAlignment w:val="auto"/>
        <w:rPr>
          <w:rFonts w:hint="eastAsia" w:ascii="Times New Roman" w:hAnsi="Times New Roman" w:eastAsia="楷体" w:cs="Times New Roman"/>
          <w:b w:val="0"/>
          <w:bCs w:val="0"/>
          <w:color w:val="0F1115"/>
          <w:kern w:val="0"/>
          <w:sz w:val="28"/>
          <w:szCs w:val="28"/>
          <w:lang w:val="en-US" w:eastAsia="zh-CN"/>
          <w14:ligatures w14:val="none"/>
        </w:rPr>
      </w:pPr>
      <w:r>
        <w:rPr>
          <w:rFonts w:hint="eastAsia" w:ascii="仿宋_GB2312" w:hAnsi="仿宋_GB2312" w:eastAsia="仿宋_GB2312" w:cs="仿宋_GB2312"/>
          <w:b w:val="0"/>
          <w:bCs w:val="0"/>
          <w:color w:val="0F1115"/>
          <w:kern w:val="0"/>
          <w:sz w:val="28"/>
          <w:szCs w:val="28"/>
          <w:lang w:val="en-US" w:eastAsia="zh-CN"/>
          <w14:ligatures w14:val="none"/>
        </w:rPr>
        <w:t>感兴趣请加入钉钉群，后续密切关注群内通知，了解报名条件与方式，选拔与退出机制等。</w:t>
      </w:r>
    </w:p>
    <w:p w14:paraId="2BED8FB4">
      <w:pPr>
        <w:widowControl/>
        <w:shd w:val="clear" w:color="auto" w:fill="FFFFFF"/>
        <w:spacing w:after="0" w:line="560" w:lineRule="exact"/>
        <w:ind w:firstLine="560" w:firstLineChars="200"/>
        <w:rPr>
          <w:rFonts w:hint="eastAsia" w:ascii="仿宋_GB2312" w:hAnsi="仿宋_GB2312" w:eastAsia="仿宋_GB2312" w:cs="仿宋_GB2312"/>
          <w:color w:val="0F1115"/>
          <w:kern w:val="0"/>
          <w:sz w:val="28"/>
          <w:szCs w:val="28"/>
          <w:lang w:eastAsia="zh-CN"/>
          <w14:ligatures w14:val="none"/>
        </w:rPr>
      </w:pPr>
      <w:r>
        <w:rPr>
          <w:rFonts w:hint="eastAsia" w:ascii="仿宋_GB2312" w:hAnsi="仿宋_GB2312" w:eastAsia="仿宋_GB2312" w:cs="仿宋_GB2312"/>
          <w:color w:val="0F1115"/>
          <w:kern w:val="0"/>
          <w:sz w:val="28"/>
          <w:szCs w:val="28"/>
          <w:lang w:eastAsia="zh-CN"/>
          <w14:ligatures w14:val="none"/>
        </w:rPr>
        <w:drawing>
          <wp:anchor distT="0" distB="0" distL="114300" distR="114300" simplePos="0" relativeHeight="251659264" behindDoc="1" locked="0" layoutInCell="1" allowOverlap="1">
            <wp:simplePos x="0" y="0"/>
            <wp:positionH relativeFrom="column">
              <wp:posOffset>939800</wp:posOffset>
            </wp:positionH>
            <wp:positionV relativeFrom="paragraph">
              <wp:posOffset>4445</wp:posOffset>
            </wp:positionV>
            <wp:extent cx="3848100" cy="2819400"/>
            <wp:effectExtent l="0" t="0" r="0" b="0"/>
            <wp:wrapTight wrapText="bothSides">
              <wp:wrapPolygon>
                <wp:start x="0" y="0"/>
                <wp:lineTo x="0" y="21454"/>
                <wp:lineTo x="21493" y="21454"/>
                <wp:lineTo x="21493" y="0"/>
                <wp:lineTo x="0" y="0"/>
              </wp:wrapPolygon>
            </wp:wrapTight>
            <wp:docPr id="1" name="图片 1" descr="42967d8b0090641e1dabbe28c77a008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2967d8b0090641e1dabbe28c77a008b"/>
                    <pic:cNvPicPr>
                      <a:picLocks noChangeAspect="1"/>
                    </pic:cNvPicPr>
                  </pic:nvPicPr>
                  <pic:blipFill>
                    <a:blip r:embed="rId6"/>
                    <a:stretch>
                      <a:fillRect/>
                    </a:stretch>
                  </pic:blipFill>
                  <pic:spPr>
                    <a:xfrm>
                      <a:off x="0" y="0"/>
                      <a:ext cx="3848100" cy="2819400"/>
                    </a:xfrm>
                    <a:prstGeom prst="rect">
                      <a:avLst/>
                    </a:prstGeom>
                  </pic:spPr>
                </pic:pic>
              </a:graphicData>
            </a:graphic>
          </wp:anchor>
        </w:drawing>
      </w:r>
    </w:p>
    <w:p w14:paraId="7063DCFE">
      <w:pPr>
        <w:widowControl/>
        <w:shd w:val="clear" w:color="auto" w:fill="FFFFFF"/>
        <w:spacing w:after="0" w:line="560" w:lineRule="exact"/>
        <w:ind w:firstLine="562" w:firstLineChars="200"/>
        <w:rPr>
          <w:rFonts w:hint="eastAsia" w:ascii="仿宋_GB2312" w:hAnsi="仿宋_GB2312" w:eastAsia="仿宋_GB2312" w:cs="仿宋_GB2312"/>
          <w:b/>
          <w:bCs/>
          <w:color w:val="0F1115"/>
          <w:kern w:val="0"/>
          <w:sz w:val="28"/>
          <w:szCs w:val="28"/>
          <w14:ligatures w14:val="none"/>
        </w:rPr>
      </w:pPr>
    </w:p>
    <w:p w14:paraId="2E741D20">
      <w:pPr>
        <w:widowControl/>
        <w:shd w:val="clear" w:color="auto" w:fill="FFFFFF"/>
        <w:spacing w:after="0" w:line="560" w:lineRule="exact"/>
        <w:ind w:firstLine="562" w:firstLineChars="200"/>
        <w:rPr>
          <w:rFonts w:hint="eastAsia" w:ascii="仿宋_GB2312" w:hAnsi="仿宋_GB2312" w:eastAsia="仿宋_GB2312" w:cs="仿宋_GB2312"/>
          <w:b/>
          <w:bCs/>
          <w:color w:val="0F1115"/>
          <w:kern w:val="0"/>
          <w:sz w:val="28"/>
          <w:szCs w:val="28"/>
          <w14:ligatures w14:val="none"/>
        </w:rPr>
      </w:pPr>
    </w:p>
    <w:p w14:paraId="73563145">
      <w:pPr>
        <w:widowControl/>
        <w:shd w:val="clear" w:color="auto" w:fill="FFFFFF"/>
        <w:spacing w:after="0" w:line="560" w:lineRule="exact"/>
        <w:ind w:firstLine="562" w:firstLineChars="200"/>
        <w:rPr>
          <w:rFonts w:hint="eastAsia" w:ascii="仿宋_GB2312" w:hAnsi="仿宋_GB2312" w:eastAsia="仿宋_GB2312" w:cs="仿宋_GB2312"/>
          <w:b/>
          <w:bCs/>
          <w:color w:val="0F1115"/>
          <w:kern w:val="0"/>
          <w:sz w:val="28"/>
          <w:szCs w:val="28"/>
          <w14:ligatures w14:val="none"/>
        </w:rPr>
      </w:pPr>
    </w:p>
    <w:p w14:paraId="7F494959">
      <w:pPr>
        <w:widowControl/>
        <w:shd w:val="clear" w:color="auto" w:fill="FFFFFF"/>
        <w:spacing w:after="0" w:line="560" w:lineRule="exact"/>
        <w:ind w:firstLine="562" w:firstLineChars="200"/>
        <w:rPr>
          <w:rFonts w:hint="eastAsia" w:ascii="仿宋_GB2312" w:hAnsi="仿宋_GB2312" w:eastAsia="仿宋_GB2312" w:cs="仿宋_GB2312"/>
          <w:b/>
          <w:bCs/>
          <w:color w:val="0F1115"/>
          <w:kern w:val="0"/>
          <w:sz w:val="28"/>
          <w:szCs w:val="28"/>
          <w14:ligatures w14:val="none"/>
        </w:rPr>
      </w:pPr>
    </w:p>
    <w:p w14:paraId="0693A226">
      <w:pPr>
        <w:widowControl/>
        <w:shd w:val="clear" w:color="auto" w:fill="FFFFFF"/>
        <w:spacing w:after="0" w:line="560" w:lineRule="exact"/>
        <w:ind w:firstLine="562" w:firstLineChars="200"/>
        <w:rPr>
          <w:rFonts w:hint="eastAsia" w:ascii="仿宋_GB2312" w:hAnsi="仿宋_GB2312" w:eastAsia="仿宋_GB2312" w:cs="仿宋_GB2312"/>
          <w:b/>
          <w:bCs/>
          <w:color w:val="0F1115"/>
          <w:kern w:val="0"/>
          <w:sz w:val="28"/>
          <w:szCs w:val="28"/>
          <w14:ligatures w14:val="none"/>
        </w:rPr>
      </w:pPr>
    </w:p>
    <w:p w14:paraId="5C8B3965">
      <w:pPr>
        <w:widowControl/>
        <w:shd w:val="clear" w:color="auto" w:fill="FFFFFF"/>
        <w:spacing w:after="0" w:line="560" w:lineRule="exact"/>
        <w:ind w:firstLine="562" w:firstLineChars="200"/>
        <w:rPr>
          <w:rFonts w:hint="eastAsia" w:ascii="仿宋_GB2312" w:hAnsi="仿宋_GB2312" w:eastAsia="仿宋_GB2312" w:cs="仿宋_GB2312"/>
          <w:b/>
          <w:bCs/>
          <w:color w:val="0F1115"/>
          <w:kern w:val="0"/>
          <w:sz w:val="28"/>
          <w:szCs w:val="28"/>
          <w14:ligatures w14:val="none"/>
        </w:rPr>
      </w:pPr>
    </w:p>
    <w:p w14:paraId="23015811">
      <w:pPr>
        <w:widowControl/>
        <w:shd w:val="clear" w:color="auto" w:fill="FFFFFF"/>
        <w:spacing w:after="0" w:line="560" w:lineRule="exact"/>
        <w:ind w:firstLine="562" w:firstLineChars="200"/>
        <w:rPr>
          <w:rFonts w:hint="eastAsia" w:ascii="仿宋_GB2312" w:hAnsi="仿宋_GB2312" w:eastAsia="仿宋_GB2312" w:cs="仿宋_GB2312"/>
          <w:b/>
          <w:bCs/>
          <w:color w:val="0F1115"/>
          <w:kern w:val="0"/>
          <w:sz w:val="28"/>
          <w:szCs w:val="28"/>
          <w14:ligatures w14:val="none"/>
        </w:rPr>
      </w:pPr>
    </w:p>
    <w:p w14:paraId="3D372F69">
      <w:pPr>
        <w:widowControl/>
        <w:shd w:val="clear" w:color="auto" w:fill="FFFFFF"/>
        <w:spacing w:after="0" w:line="560" w:lineRule="exact"/>
        <w:ind w:firstLine="562" w:firstLineChars="200"/>
        <w:rPr>
          <w:rFonts w:hint="eastAsia" w:ascii="仿宋_GB2312" w:hAnsi="仿宋_GB2312" w:eastAsia="仿宋_GB2312" w:cs="仿宋_GB2312"/>
          <w:b/>
          <w:bCs/>
          <w:color w:val="0F1115"/>
          <w:kern w:val="0"/>
          <w:sz w:val="28"/>
          <w:szCs w:val="28"/>
          <w14:ligatures w14:val="none"/>
        </w:rPr>
      </w:pPr>
    </w:p>
    <w:p w14:paraId="2EA12690">
      <w:pPr>
        <w:widowControl/>
        <w:shd w:val="clear" w:color="auto" w:fill="FFFFFF"/>
        <w:spacing w:after="0" w:line="560" w:lineRule="exact"/>
        <w:ind w:firstLine="562" w:firstLineChars="200"/>
        <w:rPr>
          <w:rFonts w:hint="default" w:ascii="仿宋_GB2312" w:hAnsi="仿宋_GB2312" w:eastAsia="仿宋_GB2312" w:cs="仿宋_GB2312"/>
          <w:b/>
          <w:bCs/>
          <w:color w:val="0F1115"/>
          <w:kern w:val="0"/>
          <w:sz w:val="28"/>
          <w:szCs w:val="28"/>
          <w:lang w:val="en-US" w:eastAsia="zh-CN"/>
          <w14:ligatures w14:val="none"/>
        </w:rPr>
      </w:pPr>
      <w:r>
        <w:rPr>
          <w:rFonts w:hint="eastAsia" w:ascii="仿宋_GB2312" w:hAnsi="仿宋_GB2312" w:eastAsia="仿宋_GB2312" w:cs="仿宋_GB2312"/>
          <w:b/>
          <w:bCs/>
          <w:color w:val="0F1115"/>
          <w:kern w:val="0"/>
          <w:sz w:val="28"/>
          <w:szCs w:val="28"/>
          <w14:ligatures w14:val="none"/>
        </w:rPr>
        <w:t>咨询联系：</w:t>
      </w:r>
      <w:r>
        <w:rPr>
          <w:rFonts w:hint="eastAsia" w:ascii="仿宋_GB2312" w:hAnsi="仿宋_GB2312" w:eastAsia="仿宋_GB2312" w:cs="仿宋_GB2312"/>
          <w:color w:val="0F1115"/>
          <w:kern w:val="0"/>
          <w:sz w:val="28"/>
          <w:szCs w:val="28"/>
          <w:lang w:eastAsia="zh-CN"/>
          <w14:ligatures w14:val="none"/>
        </w:rPr>
        <w:t>朱老师</w:t>
      </w:r>
      <w:r>
        <w:rPr>
          <w:rFonts w:hint="eastAsia" w:ascii="仿宋_GB2312" w:hAnsi="仿宋_GB2312" w:eastAsia="仿宋_GB2312" w:cs="仿宋_GB2312"/>
          <w:color w:val="0F1115"/>
          <w:kern w:val="0"/>
          <w:sz w:val="28"/>
          <w:szCs w:val="28"/>
          <w:lang w:val="en-US" w:eastAsia="zh-CN"/>
          <w14:ligatures w14:val="none"/>
        </w:rPr>
        <w:t xml:space="preserve"> 13676610359</w:t>
      </w:r>
    </w:p>
    <w:p w14:paraId="7FA6FA44">
      <w:pPr>
        <w:ind w:firstLine="560" w:firstLineChars="200"/>
        <w:rPr>
          <w:rFonts w:hint="eastAsia" w:ascii="仿宋_GB2312" w:hAnsi="仿宋_GB2312" w:eastAsia="仿宋_GB2312" w:cs="仿宋_GB2312"/>
          <w:color w:val="0F1115"/>
          <w:kern w:val="0"/>
          <w:sz w:val="28"/>
          <w:szCs w:val="28"/>
          <w:highlight w:val="yellow"/>
          <w14:ligatures w14:val="none"/>
        </w:rPr>
      </w:pPr>
    </w:p>
    <w:p w14:paraId="12C105F8">
      <w:pPr>
        <w:ind w:firstLine="562" w:firstLineChars="200"/>
        <w:rPr>
          <w:rFonts w:hint="eastAsia" w:ascii="仿宋_GB2312" w:hAnsi="仿宋_GB2312" w:eastAsia="仿宋_GB2312" w:cs="仿宋_GB2312"/>
          <w:b/>
          <w:bCs/>
          <w:color w:val="0F1115"/>
          <w:kern w:val="0"/>
          <w:sz w:val="28"/>
          <w:szCs w:val="28"/>
          <w:highlight w:val="none"/>
          <w14:ligatures w14:val="none"/>
        </w:rPr>
      </w:pPr>
      <w:r>
        <w:rPr>
          <w:rFonts w:hint="eastAsia" w:ascii="仿宋_GB2312" w:hAnsi="仿宋_GB2312" w:eastAsia="仿宋_GB2312" w:cs="仿宋_GB2312"/>
          <w:b/>
          <w:bCs/>
          <w:color w:val="0F1115"/>
          <w:kern w:val="0"/>
          <w:sz w:val="28"/>
          <w:szCs w:val="28"/>
          <w:highlight w:val="none"/>
          <w14:ligatures w14:val="none"/>
        </w:rPr>
        <w:t>欢迎加入数智人力微专业，让你的专业更“懂人”，让智能工具更“懂你”！</w:t>
      </w:r>
    </w:p>
    <w:p w14:paraId="2EBD0D3E">
      <w:pPr>
        <w:ind w:firstLine="480" w:firstLineChars="200"/>
      </w:pPr>
    </w:p>
    <w:sectPr>
      <w:pgSz w:w="11906" w:h="16838"/>
      <w:pgMar w:top="1440" w:right="1800" w:bottom="1440" w:left="1800" w:header="708" w:footer="708" w:gutter="0"/>
      <w:cols w:space="708"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ptos">
    <w:altName w:val="Calibri"/>
    <w:panose1 w:val="00000000000000000000"/>
    <w:charset w:val="00"/>
    <w:family w:val="swiss"/>
    <w:pitch w:val="default"/>
    <w:sig w:usb0="00000000" w:usb1="00000000" w:usb2="00000000" w:usb3="00000000" w:csb0="0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Segoe UI">
    <w:panose1 w:val="020B0502040204020203"/>
    <w:charset w:val="00"/>
    <w:family w:val="swiss"/>
    <w:pitch w:val="default"/>
    <w:sig w:usb0="E10022FF" w:usb1="C000E47F" w:usb2="00000029" w:usb3="00000000" w:csb0="200001DF" w:csb1="2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451057"/>
    <w:multiLevelType w:val="multilevel"/>
    <w:tmpl w:val="63451057"/>
    <w:lvl w:ilvl="0" w:tentative="0">
      <w:start w:val="1"/>
      <w:numFmt w:val="bullet"/>
      <w:lvlText w:val=""/>
      <w:lvlJc w:val="left"/>
      <w:pPr>
        <w:ind w:left="1000" w:hanging="440"/>
      </w:pPr>
      <w:rPr>
        <w:rFonts w:hint="default" w:ascii="Wingdings" w:hAnsi="Wingdings"/>
      </w:rPr>
    </w:lvl>
    <w:lvl w:ilvl="1" w:tentative="0">
      <w:start w:val="1"/>
      <w:numFmt w:val="bullet"/>
      <w:lvlText w:val=""/>
      <w:lvlJc w:val="left"/>
      <w:pPr>
        <w:ind w:left="1440" w:hanging="440"/>
      </w:pPr>
      <w:rPr>
        <w:rFonts w:hint="default" w:ascii="Wingdings" w:hAnsi="Wingdings"/>
      </w:rPr>
    </w:lvl>
    <w:lvl w:ilvl="2" w:tentative="0">
      <w:start w:val="1"/>
      <w:numFmt w:val="bullet"/>
      <w:lvlText w:val=""/>
      <w:lvlJc w:val="left"/>
      <w:pPr>
        <w:ind w:left="1880" w:hanging="440"/>
      </w:pPr>
      <w:rPr>
        <w:rFonts w:hint="default" w:ascii="Wingdings" w:hAnsi="Wingdings"/>
      </w:rPr>
    </w:lvl>
    <w:lvl w:ilvl="3" w:tentative="0">
      <w:start w:val="1"/>
      <w:numFmt w:val="bullet"/>
      <w:lvlText w:val=""/>
      <w:lvlJc w:val="left"/>
      <w:pPr>
        <w:ind w:left="2320" w:hanging="440"/>
      </w:pPr>
      <w:rPr>
        <w:rFonts w:hint="default" w:ascii="Wingdings" w:hAnsi="Wingdings"/>
      </w:rPr>
    </w:lvl>
    <w:lvl w:ilvl="4" w:tentative="0">
      <w:start w:val="1"/>
      <w:numFmt w:val="bullet"/>
      <w:lvlText w:val=""/>
      <w:lvlJc w:val="left"/>
      <w:pPr>
        <w:ind w:left="2760" w:hanging="440"/>
      </w:pPr>
      <w:rPr>
        <w:rFonts w:hint="default" w:ascii="Wingdings" w:hAnsi="Wingdings"/>
      </w:rPr>
    </w:lvl>
    <w:lvl w:ilvl="5" w:tentative="0">
      <w:start w:val="1"/>
      <w:numFmt w:val="bullet"/>
      <w:lvlText w:val=""/>
      <w:lvlJc w:val="left"/>
      <w:pPr>
        <w:ind w:left="3200" w:hanging="440"/>
      </w:pPr>
      <w:rPr>
        <w:rFonts w:hint="default" w:ascii="Wingdings" w:hAnsi="Wingdings"/>
      </w:rPr>
    </w:lvl>
    <w:lvl w:ilvl="6" w:tentative="0">
      <w:start w:val="1"/>
      <w:numFmt w:val="bullet"/>
      <w:lvlText w:val=""/>
      <w:lvlJc w:val="left"/>
      <w:pPr>
        <w:ind w:left="3640" w:hanging="440"/>
      </w:pPr>
      <w:rPr>
        <w:rFonts w:hint="default" w:ascii="Wingdings" w:hAnsi="Wingdings"/>
      </w:rPr>
    </w:lvl>
    <w:lvl w:ilvl="7" w:tentative="0">
      <w:start w:val="1"/>
      <w:numFmt w:val="bullet"/>
      <w:lvlText w:val=""/>
      <w:lvlJc w:val="left"/>
      <w:pPr>
        <w:ind w:left="4080" w:hanging="440"/>
      </w:pPr>
      <w:rPr>
        <w:rFonts w:hint="default" w:ascii="Wingdings" w:hAnsi="Wingdings"/>
      </w:rPr>
    </w:lvl>
    <w:lvl w:ilvl="8" w:tentative="0">
      <w:start w:val="1"/>
      <w:numFmt w:val="bullet"/>
      <w:lvlText w:val=""/>
      <w:lvlJc w:val="left"/>
      <w:pPr>
        <w:ind w:left="4520" w:hanging="440"/>
      </w:pPr>
      <w:rPr>
        <w:rFonts w:hint="default" w:ascii="Wingdings" w:hAnsi="Wingdings"/>
      </w:rPr>
    </w:lvl>
  </w:abstractNum>
  <w:abstractNum w:abstractNumId="1">
    <w:nsid w:val="6D162C2C"/>
    <w:multiLevelType w:val="multilevel"/>
    <w:tmpl w:val="6D162C2C"/>
    <w:lvl w:ilvl="0" w:tentative="0">
      <w:start w:val="1"/>
      <w:numFmt w:val="bullet"/>
      <w:lvlText w:val=""/>
      <w:lvlJc w:val="left"/>
      <w:pPr>
        <w:ind w:left="1000" w:hanging="440"/>
      </w:pPr>
      <w:rPr>
        <w:rFonts w:hint="default" w:ascii="Wingdings" w:hAnsi="Wingdings"/>
      </w:rPr>
    </w:lvl>
    <w:lvl w:ilvl="1" w:tentative="0">
      <w:start w:val="1"/>
      <w:numFmt w:val="bullet"/>
      <w:lvlText w:val=""/>
      <w:lvlJc w:val="left"/>
      <w:pPr>
        <w:ind w:left="1440" w:hanging="440"/>
      </w:pPr>
      <w:rPr>
        <w:rFonts w:hint="default" w:ascii="Wingdings" w:hAnsi="Wingdings"/>
      </w:rPr>
    </w:lvl>
    <w:lvl w:ilvl="2" w:tentative="0">
      <w:start w:val="1"/>
      <w:numFmt w:val="bullet"/>
      <w:lvlText w:val=""/>
      <w:lvlJc w:val="left"/>
      <w:pPr>
        <w:ind w:left="1880" w:hanging="440"/>
      </w:pPr>
      <w:rPr>
        <w:rFonts w:hint="default" w:ascii="Wingdings" w:hAnsi="Wingdings"/>
      </w:rPr>
    </w:lvl>
    <w:lvl w:ilvl="3" w:tentative="0">
      <w:start w:val="1"/>
      <w:numFmt w:val="bullet"/>
      <w:lvlText w:val=""/>
      <w:lvlJc w:val="left"/>
      <w:pPr>
        <w:ind w:left="2320" w:hanging="440"/>
      </w:pPr>
      <w:rPr>
        <w:rFonts w:hint="default" w:ascii="Wingdings" w:hAnsi="Wingdings"/>
      </w:rPr>
    </w:lvl>
    <w:lvl w:ilvl="4" w:tentative="0">
      <w:start w:val="1"/>
      <w:numFmt w:val="bullet"/>
      <w:lvlText w:val=""/>
      <w:lvlJc w:val="left"/>
      <w:pPr>
        <w:ind w:left="2760" w:hanging="440"/>
      </w:pPr>
      <w:rPr>
        <w:rFonts w:hint="default" w:ascii="Wingdings" w:hAnsi="Wingdings"/>
      </w:rPr>
    </w:lvl>
    <w:lvl w:ilvl="5" w:tentative="0">
      <w:start w:val="1"/>
      <w:numFmt w:val="bullet"/>
      <w:lvlText w:val=""/>
      <w:lvlJc w:val="left"/>
      <w:pPr>
        <w:ind w:left="3200" w:hanging="440"/>
      </w:pPr>
      <w:rPr>
        <w:rFonts w:hint="default" w:ascii="Wingdings" w:hAnsi="Wingdings"/>
      </w:rPr>
    </w:lvl>
    <w:lvl w:ilvl="6" w:tentative="0">
      <w:start w:val="1"/>
      <w:numFmt w:val="bullet"/>
      <w:lvlText w:val=""/>
      <w:lvlJc w:val="left"/>
      <w:pPr>
        <w:ind w:left="3640" w:hanging="440"/>
      </w:pPr>
      <w:rPr>
        <w:rFonts w:hint="default" w:ascii="Wingdings" w:hAnsi="Wingdings"/>
      </w:rPr>
    </w:lvl>
    <w:lvl w:ilvl="7" w:tentative="0">
      <w:start w:val="1"/>
      <w:numFmt w:val="bullet"/>
      <w:lvlText w:val=""/>
      <w:lvlJc w:val="left"/>
      <w:pPr>
        <w:ind w:left="4080" w:hanging="440"/>
      </w:pPr>
      <w:rPr>
        <w:rFonts w:hint="default" w:ascii="Wingdings" w:hAnsi="Wingdings"/>
      </w:rPr>
    </w:lvl>
    <w:lvl w:ilvl="8" w:tentative="0">
      <w:start w:val="1"/>
      <w:numFmt w:val="bullet"/>
      <w:lvlText w:val=""/>
      <w:lvlJc w:val="left"/>
      <w:pPr>
        <w:ind w:left="4520" w:hanging="440"/>
      </w:pPr>
      <w:rPr>
        <w:rFonts w:hint="default" w:ascii="Wingdings" w:hAnsi="Wingdings"/>
      </w:rPr>
    </w:lvl>
  </w:abstractNum>
  <w:abstractNum w:abstractNumId="2">
    <w:nsid w:val="77ED13CE"/>
    <w:multiLevelType w:val="multilevel"/>
    <w:tmpl w:val="77ED13CE"/>
    <w:lvl w:ilvl="0" w:tentative="0">
      <w:start w:val="1"/>
      <w:numFmt w:val="bullet"/>
      <w:lvlText w:val=""/>
      <w:lvlJc w:val="left"/>
      <w:pPr>
        <w:ind w:left="1000" w:hanging="440"/>
      </w:pPr>
      <w:rPr>
        <w:rFonts w:hint="default" w:ascii="Wingdings" w:hAnsi="Wingdings"/>
      </w:rPr>
    </w:lvl>
    <w:lvl w:ilvl="1" w:tentative="0">
      <w:start w:val="1"/>
      <w:numFmt w:val="bullet"/>
      <w:lvlText w:val=""/>
      <w:lvlJc w:val="left"/>
      <w:pPr>
        <w:ind w:left="1440" w:hanging="440"/>
      </w:pPr>
      <w:rPr>
        <w:rFonts w:hint="default" w:ascii="Wingdings" w:hAnsi="Wingdings"/>
      </w:rPr>
    </w:lvl>
    <w:lvl w:ilvl="2" w:tentative="0">
      <w:start w:val="1"/>
      <w:numFmt w:val="bullet"/>
      <w:lvlText w:val=""/>
      <w:lvlJc w:val="left"/>
      <w:pPr>
        <w:ind w:left="1880" w:hanging="440"/>
      </w:pPr>
      <w:rPr>
        <w:rFonts w:hint="default" w:ascii="Wingdings" w:hAnsi="Wingdings"/>
      </w:rPr>
    </w:lvl>
    <w:lvl w:ilvl="3" w:tentative="0">
      <w:start w:val="1"/>
      <w:numFmt w:val="bullet"/>
      <w:lvlText w:val=""/>
      <w:lvlJc w:val="left"/>
      <w:pPr>
        <w:ind w:left="2320" w:hanging="440"/>
      </w:pPr>
      <w:rPr>
        <w:rFonts w:hint="default" w:ascii="Wingdings" w:hAnsi="Wingdings"/>
      </w:rPr>
    </w:lvl>
    <w:lvl w:ilvl="4" w:tentative="0">
      <w:start w:val="1"/>
      <w:numFmt w:val="bullet"/>
      <w:lvlText w:val=""/>
      <w:lvlJc w:val="left"/>
      <w:pPr>
        <w:ind w:left="2760" w:hanging="440"/>
      </w:pPr>
      <w:rPr>
        <w:rFonts w:hint="default" w:ascii="Wingdings" w:hAnsi="Wingdings"/>
      </w:rPr>
    </w:lvl>
    <w:lvl w:ilvl="5" w:tentative="0">
      <w:start w:val="1"/>
      <w:numFmt w:val="bullet"/>
      <w:lvlText w:val=""/>
      <w:lvlJc w:val="left"/>
      <w:pPr>
        <w:ind w:left="3200" w:hanging="440"/>
      </w:pPr>
      <w:rPr>
        <w:rFonts w:hint="default" w:ascii="Wingdings" w:hAnsi="Wingdings"/>
      </w:rPr>
    </w:lvl>
    <w:lvl w:ilvl="6" w:tentative="0">
      <w:start w:val="1"/>
      <w:numFmt w:val="bullet"/>
      <w:lvlText w:val=""/>
      <w:lvlJc w:val="left"/>
      <w:pPr>
        <w:ind w:left="3640" w:hanging="440"/>
      </w:pPr>
      <w:rPr>
        <w:rFonts w:hint="default" w:ascii="Wingdings" w:hAnsi="Wingdings"/>
      </w:rPr>
    </w:lvl>
    <w:lvl w:ilvl="7" w:tentative="0">
      <w:start w:val="1"/>
      <w:numFmt w:val="bullet"/>
      <w:lvlText w:val=""/>
      <w:lvlJc w:val="left"/>
      <w:pPr>
        <w:ind w:left="4080" w:hanging="440"/>
      </w:pPr>
      <w:rPr>
        <w:rFonts w:hint="default" w:ascii="Wingdings" w:hAnsi="Wingdings"/>
      </w:rPr>
    </w:lvl>
    <w:lvl w:ilvl="8" w:tentative="0">
      <w:start w:val="1"/>
      <w:numFmt w:val="bullet"/>
      <w:lvlText w:val=""/>
      <w:lvlJc w:val="left"/>
      <w:pPr>
        <w:ind w:left="4520" w:hanging="44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720"/>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sDQ3tDA0tzS0sDQzNjJS0lEKTi0uzszPAykwrgUAQjadkSwAAAA="/>
  </w:docVars>
  <w:rsids>
    <w:rsidRoot w:val="000643BE"/>
    <w:rsid w:val="0000761E"/>
    <w:rsid w:val="00040830"/>
    <w:rsid w:val="000619AF"/>
    <w:rsid w:val="000643BE"/>
    <w:rsid w:val="000719DC"/>
    <w:rsid w:val="000919B1"/>
    <w:rsid w:val="00095C62"/>
    <w:rsid w:val="000A3B94"/>
    <w:rsid w:val="00106DFD"/>
    <w:rsid w:val="00110126"/>
    <w:rsid w:val="00132170"/>
    <w:rsid w:val="001324F6"/>
    <w:rsid w:val="00163731"/>
    <w:rsid w:val="00171ED9"/>
    <w:rsid w:val="001D7EDC"/>
    <w:rsid w:val="001E0C56"/>
    <w:rsid w:val="001E0ED1"/>
    <w:rsid w:val="00206BEE"/>
    <w:rsid w:val="00263C17"/>
    <w:rsid w:val="002659B8"/>
    <w:rsid w:val="00295797"/>
    <w:rsid w:val="002C4D3F"/>
    <w:rsid w:val="002D3A9E"/>
    <w:rsid w:val="002F68F0"/>
    <w:rsid w:val="00303825"/>
    <w:rsid w:val="00316C32"/>
    <w:rsid w:val="00331A85"/>
    <w:rsid w:val="003855BD"/>
    <w:rsid w:val="003B0557"/>
    <w:rsid w:val="003E688C"/>
    <w:rsid w:val="00412986"/>
    <w:rsid w:val="00445442"/>
    <w:rsid w:val="004860DA"/>
    <w:rsid w:val="004E606D"/>
    <w:rsid w:val="0051581E"/>
    <w:rsid w:val="00563903"/>
    <w:rsid w:val="005A6A59"/>
    <w:rsid w:val="005E5D0A"/>
    <w:rsid w:val="00642CC2"/>
    <w:rsid w:val="006C03E8"/>
    <w:rsid w:val="006C62A0"/>
    <w:rsid w:val="006D05EE"/>
    <w:rsid w:val="0072086B"/>
    <w:rsid w:val="00762FC2"/>
    <w:rsid w:val="007E3011"/>
    <w:rsid w:val="008322AE"/>
    <w:rsid w:val="0086039E"/>
    <w:rsid w:val="00886637"/>
    <w:rsid w:val="008B057F"/>
    <w:rsid w:val="008B5389"/>
    <w:rsid w:val="0091229C"/>
    <w:rsid w:val="00921D4E"/>
    <w:rsid w:val="0096110A"/>
    <w:rsid w:val="009B5948"/>
    <w:rsid w:val="009C240C"/>
    <w:rsid w:val="009E224D"/>
    <w:rsid w:val="00A73903"/>
    <w:rsid w:val="00AC3429"/>
    <w:rsid w:val="00AE50DD"/>
    <w:rsid w:val="00B17E8E"/>
    <w:rsid w:val="00B91450"/>
    <w:rsid w:val="00B96A6B"/>
    <w:rsid w:val="00BB05CB"/>
    <w:rsid w:val="00BE3F54"/>
    <w:rsid w:val="00D468D0"/>
    <w:rsid w:val="00D871DE"/>
    <w:rsid w:val="00DB3132"/>
    <w:rsid w:val="00DB7530"/>
    <w:rsid w:val="00DE20A2"/>
    <w:rsid w:val="00E50761"/>
    <w:rsid w:val="00EB11D0"/>
    <w:rsid w:val="00EB2885"/>
    <w:rsid w:val="00F116CC"/>
    <w:rsid w:val="00F3034D"/>
    <w:rsid w:val="00F37BF6"/>
    <w:rsid w:val="00F64FB5"/>
    <w:rsid w:val="00FB2C07"/>
    <w:rsid w:val="00FC2EB6"/>
    <w:rsid w:val="00FC36AE"/>
    <w:rsid w:val="00FD7B68"/>
    <w:rsid w:val="00FE39D7"/>
    <w:rsid w:val="09C3463B"/>
    <w:rsid w:val="0A614F36"/>
    <w:rsid w:val="23C94C6C"/>
    <w:rsid w:val="32B31CDC"/>
    <w:rsid w:val="36C8026D"/>
    <w:rsid w:val="3A5B3385"/>
    <w:rsid w:val="3F515FB2"/>
    <w:rsid w:val="422E6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4"/>
      <w:szCs w:val="24"/>
      <w:lang w:val="en-US" w:eastAsia="zh-CN" w:bidi="ar-SA"/>
      <w14:ligatures w14:val="standardContextual"/>
    </w:rPr>
  </w:style>
  <w:style w:type="paragraph" w:styleId="2">
    <w:name w:val="heading 1"/>
    <w:basedOn w:val="1"/>
    <w:link w:val="9"/>
    <w:qFormat/>
    <w:uiPriority w:val="9"/>
    <w:pPr>
      <w:widowControl/>
      <w:spacing w:before="100" w:beforeAutospacing="1" w:after="100" w:afterAutospacing="1" w:line="240" w:lineRule="auto"/>
      <w:outlineLvl w:val="0"/>
    </w:pPr>
    <w:rPr>
      <w:rFonts w:ascii="Times New Roman" w:hAnsi="Times New Roman" w:eastAsia="Times New Roman" w:cs="Times New Roman"/>
      <w:b/>
      <w:bCs/>
      <w:kern w:val="36"/>
      <w:sz w:val="48"/>
      <w:szCs w:val="48"/>
      <w14:ligatures w14:val="none"/>
    </w:rPr>
  </w:style>
  <w:style w:type="paragraph" w:styleId="3">
    <w:name w:val="heading 2"/>
    <w:basedOn w:val="1"/>
    <w:link w:val="10"/>
    <w:qFormat/>
    <w:uiPriority w:val="9"/>
    <w:pPr>
      <w:widowControl/>
      <w:spacing w:before="100" w:beforeAutospacing="1" w:after="100" w:afterAutospacing="1" w:line="240" w:lineRule="auto"/>
      <w:outlineLvl w:val="1"/>
    </w:pPr>
    <w:rPr>
      <w:rFonts w:ascii="Times New Roman" w:hAnsi="Times New Roman" w:eastAsia="Times New Roman" w:cs="Times New Roman"/>
      <w:b/>
      <w:bCs/>
      <w:kern w:val="0"/>
      <w:sz w:val="36"/>
      <w:szCs w:val="36"/>
      <w14:ligatures w14:val="none"/>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3"/>
    <w:unhideWhenUsed/>
    <w:qFormat/>
    <w:uiPriority w:val="99"/>
    <w:pPr>
      <w:tabs>
        <w:tab w:val="center" w:pos="4153"/>
        <w:tab w:val="right" w:pos="8306"/>
      </w:tabs>
      <w:snapToGrid w:val="0"/>
      <w:spacing w:line="240" w:lineRule="auto"/>
    </w:pPr>
    <w:rPr>
      <w:sz w:val="18"/>
      <w:szCs w:val="18"/>
    </w:rPr>
  </w:style>
  <w:style w:type="paragraph" w:styleId="5">
    <w:name w:val="header"/>
    <w:basedOn w:val="1"/>
    <w:link w:val="12"/>
    <w:unhideWhenUsed/>
    <w:qFormat/>
    <w:uiPriority w:val="99"/>
    <w:pPr>
      <w:tabs>
        <w:tab w:val="center" w:pos="4153"/>
        <w:tab w:val="right" w:pos="8306"/>
      </w:tabs>
      <w:snapToGrid w:val="0"/>
      <w:spacing w:line="240" w:lineRule="auto"/>
      <w:jc w:val="center"/>
    </w:pPr>
    <w:rPr>
      <w:sz w:val="18"/>
      <w:szCs w:val="18"/>
    </w:rPr>
  </w:style>
  <w:style w:type="character" w:styleId="8">
    <w:name w:val="Strong"/>
    <w:basedOn w:val="7"/>
    <w:qFormat/>
    <w:uiPriority w:val="22"/>
    <w:rPr>
      <w:b/>
      <w:bCs/>
    </w:rPr>
  </w:style>
  <w:style w:type="character" w:customStyle="1" w:styleId="9">
    <w:name w:val="标题 1 字符"/>
    <w:basedOn w:val="7"/>
    <w:link w:val="2"/>
    <w:uiPriority w:val="9"/>
    <w:rPr>
      <w:rFonts w:ascii="Times New Roman" w:hAnsi="Times New Roman" w:eastAsia="Times New Roman" w:cs="Times New Roman"/>
      <w:b/>
      <w:bCs/>
      <w:kern w:val="36"/>
      <w:sz w:val="48"/>
      <w:szCs w:val="48"/>
      <w14:ligatures w14:val="none"/>
    </w:rPr>
  </w:style>
  <w:style w:type="character" w:customStyle="1" w:styleId="10">
    <w:name w:val="标题 2 字符"/>
    <w:basedOn w:val="7"/>
    <w:link w:val="3"/>
    <w:qFormat/>
    <w:uiPriority w:val="9"/>
    <w:rPr>
      <w:rFonts w:ascii="Times New Roman" w:hAnsi="Times New Roman" w:eastAsia="Times New Roman" w:cs="Times New Roman"/>
      <w:b/>
      <w:bCs/>
      <w:kern w:val="0"/>
      <w:sz w:val="36"/>
      <w:szCs w:val="36"/>
      <w14:ligatures w14:val="none"/>
    </w:rPr>
  </w:style>
  <w:style w:type="paragraph" w:customStyle="1" w:styleId="11">
    <w:name w:val="ds-markdown-paragraph"/>
    <w:basedOn w:val="1"/>
    <w:uiPriority w:val="0"/>
    <w:pPr>
      <w:widowControl/>
      <w:spacing w:before="100" w:beforeAutospacing="1" w:after="100" w:afterAutospacing="1" w:line="240" w:lineRule="auto"/>
    </w:pPr>
    <w:rPr>
      <w:rFonts w:ascii="Times New Roman" w:hAnsi="Times New Roman" w:eastAsia="Times New Roman" w:cs="Times New Roman"/>
      <w:kern w:val="0"/>
      <w14:ligatures w14:val="none"/>
    </w:rPr>
  </w:style>
  <w:style w:type="character" w:customStyle="1" w:styleId="12">
    <w:name w:val="页眉 字符"/>
    <w:basedOn w:val="7"/>
    <w:link w:val="5"/>
    <w:qFormat/>
    <w:uiPriority w:val="99"/>
    <w:rPr>
      <w:kern w:val="2"/>
      <w:sz w:val="18"/>
      <w:szCs w:val="18"/>
      <w14:ligatures w14:val="standardContextual"/>
    </w:rPr>
  </w:style>
  <w:style w:type="character" w:customStyle="1" w:styleId="13">
    <w:name w:val="页脚 字符"/>
    <w:basedOn w:val="7"/>
    <w:link w:val="4"/>
    <w:qFormat/>
    <w:uiPriority w:val="99"/>
    <w:rPr>
      <w:kern w:val="2"/>
      <w:sz w:val="18"/>
      <w:szCs w:val="18"/>
      <w14:ligatures w14:val="standardContextual"/>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faf5448e-47b0-4e95-833e-170142abbf37</errorID>
      <errorWord>本微</errorWord>
      <group>L1_Word</group>
      <groupName>字词问题</groupName>
      <ability>L2_Typo</ability>
      <abilityName>字词错误</abilityName>
      <candidateList>
        <item>本</item>
      </candidateList>
      <explain>❶（～儿）〈名〉本子❶：书～｜账～儿。❷版本：刻～｜抄～｜稿～。❸（～儿）演出的底本：话～｜剧～。❹封建时代指奏章：修～（拟奏章）｜奏上一～。❺（～儿）〈量〉a）用于书籍簿册：五～书｜两～儿账。b）用于戏：头～《西游记》。c）用于一定长度的影片：这部电影是十四～。</explain>
      <paraID>1FF748D2</paraID>
      <start>8</start>
      <end>10</end>
      <status>ignored</status>
      <modifiedWord/>
      <trackRevisions>false</trackRevisions>
    </reviewItem>
  </reviewItems>
  <config/>
</contractReview>
</file>

<file path=customXml/itemProps1.xml><?xml version="1.0" encoding="utf-8"?>
<ds:datastoreItem xmlns:ds="http://schemas.openxmlformats.org/officeDocument/2006/customXml" ds:itemID="{84F520F9-0288-4C58-94D6-73990A165E75}">
  <ds:schemaRefs/>
</ds:datastoreItem>
</file>

<file path=docProps/app.xml><?xml version="1.0" encoding="utf-8"?>
<Properties xmlns="http://schemas.openxmlformats.org/officeDocument/2006/extended-properties" xmlns:vt="http://schemas.openxmlformats.org/officeDocument/2006/docPropsVTypes">
  <Template>Normal.dotm</Template>
  <Pages>9</Pages>
  <Words>4017</Words>
  <Characters>4098</Characters>
  <Lines>31</Lines>
  <Paragraphs>8</Paragraphs>
  <TotalTime>5</TotalTime>
  <ScaleCrop>false</ScaleCrop>
  <LinksUpToDate>false</LinksUpToDate>
  <CharactersWithSpaces>4123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2025-12-03T12:33:00Z</dcterms:created>
  <dc:creator>JIANG Mingjie</dc:creator>
  <cp:lastModifiedBy>鸡蛋三明治</cp:lastModifiedBy>
  <dcterms:modified xsi:type="dcterms:W3CDTF">2025-12-31T02:46:58Z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D3CDCB8CE1BA47089BAA63DC1DCC82CA_13</vt:lpwstr>
  </property>
  <property fmtid="{D5CDD505-2E9C-101B-9397-08002B2CF9AE}" pid="4" name="KSOTemplateDocerSaveRecord">
    <vt:lpwstr>eyJoZGlkIjoiYWQ5ZjI1M2RlN2M1YzI5MDkzM2Q2MGYyNzVlNDFlNTYiLCJ1c2VySWQiOiIxMTcyNDQ1MDU1In0=</vt:lpwstr>
  </property>
</Properties>
</file>