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auto"/>
          <w:sz w:val="36"/>
          <w:szCs w:val="36"/>
        </w:rPr>
      </w:pPr>
      <w:r>
        <w:rPr>
          <w:rFonts w:hint="eastAsia" w:ascii="微软雅黑" w:hAnsi="微软雅黑" w:eastAsia="微软雅黑" w:cs="微软雅黑"/>
          <w:b/>
          <w:i w:val="0"/>
          <w:caps w:val="0"/>
          <w:color w:val="auto"/>
          <w:spacing w:val="0"/>
          <w:sz w:val="36"/>
          <w:szCs w:val="36"/>
          <w:shd w:val="clear" w:fill="FFFFFF"/>
        </w:rPr>
        <w:t>教育部办公厅关于印发《教育部产学合作协同</w:t>
      </w:r>
      <w:r>
        <w:rPr>
          <w:rFonts w:hint="eastAsia" w:ascii="微软雅黑" w:hAnsi="微软雅黑" w:eastAsia="微软雅黑" w:cs="微软雅黑"/>
          <w:b/>
          <w:i w:val="0"/>
          <w:caps w:val="0"/>
          <w:color w:val="auto"/>
          <w:spacing w:val="0"/>
          <w:sz w:val="36"/>
          <w:szCs w:val="36"/>
          <w:shd w:val="clear" w:fill="FFFFFF"/>
        </w:rPr>
        <w:br w:type="textWrapping"/>
      </w:r>
      <w:r>
        <w:rPr>
          <w:rFonts w:hint="eastAsia" w:ascii="微软雅黑" w:hAnsi="微软雅黑" w:eastAsia="微软雅黑" w:cs="微软雅黑"/>
          <w:b/>
          <w:i w:val="0"/>
          <w:caps w:val="0"/>
          <w:color w:val="auto"/>
          <w:spacing w:val="0"/>
          <w:sz w:val="36"/>
          <w:szCs w:val="36"/>
          <w:shd w:val="clear" w:fill="FFFFFF"/>
        </w:rPr>
        <w:t>育人项目管理办法》的通知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auto"/>
          <w:sz w:val="28"/>
          <w:szCs w:val="28"/>
        </w:rPr>
      </w:pPr>
      <w:r>
        <w:rPr>
          <w:rFonts w:hint="eastAsia" w:ascii="微软雅黑" w:hAnsi="微软雅黑" w:eastAsia="微软雅黑" w:cs="微软雅黑"/>
          <w:i w:val="0"/>
          <w:caps w:val="0"/>
          <w:color w:val="auto"/>
          <w:spacing w:val="0"/>
          <w:sz w:val="28"/>
          <w:szCs w:val="28"/>
          <w:shd w:val="clear" w:fill="FFFFFF"/>
        </w:rPr>
        <w:t>教高厅〔2020〕1号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firstLineChars="20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为贯彻落实《国务院办公厅关于深化产教融合的若干意见》（国办发〔2017〕95号）和《关于加快建设发展新工科实施卓越工程师教育培养计划2.0的意见》（教高〔2018〕3号）等有关文件精神，深入推进产学合作协同育人，现将《教育部产学合作协同育人项目管理办法》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2020年1月8日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6"/>
          <w:rFonts w:hint="eastAsia" w:ascii="微软雅黑" w:hAnsi="微软雅黑" w:eastAsia="微软雅黑" w:cs="微软雅黑"/>
          <w:i w:val="0"/>
          <w:caps w:val="0"/>
          <w:color w:val="auto"/>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bookmarkStart w:id="0" w:name="_GoBack"/>
      <w:bookmarkEnd w:id="0"/>
      <w:r>
        <w:rPr>
          <w:rStyle w:val="6"/>
          <w:rFonts w:hint="eastAsia" w:ascii="微软雅黑" w:hAnsi="微软雅黑" w:eastAsia="微软雅黑" w:cs="微软雅黑"/>
          <w:i w:val="0"/>
          <w:caps w:val="0"/>
          <w:color w:val="auto"/>
          <w:spacing w:val="0"/>
          <w:sz w:val="28"/>
          <w:szCs w:val="28"/>
          <w:shd w:val="clear" w:fill="FFFFFF"/>
        </w:rPr>
        <w:t>教育部产学合作协同育人项目管理办法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第一条　为贯彻落实《国务院办公厅关于深化产教融合的若干意见》（国办发〔2017〕95号）和《关于加快建设发展新工科 实施卓越工程师教育培养计划2.0的意见》（教高〔2018〕3号）精神，加强和规范教育部产学合作协同育人项目（以下简称产学合作协同育人项目）管理，特制定本办法。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第二条　产学合作协同育人项目旨在通过政府搭台、企业支持、高校对接、共建共享，深化产教融合，促进教育链、人才链与产业链、创新链有机衔接，以产业和技术发展的最新需求推动高校人才培养改革。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第三条　产学合作协同育人项目坚持主动服务国家经济社会发展需求，服务战略性新兴产业发展需求，服务新工科、新医科、新农科、新文科建设需求，服务企业基础性、战略性研究需求，鼓励相关企业不以直接商业利益作为目标，深化与高校产学合作，促进培养目标、师资队伍、资源配置、管理服务的多方协同，培养支撑引领经济社会发展需要的高素质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第四条　产学合作协同育人项目实行项目制管理，主要包括六类：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新工科、新医科、新农科、新文科建设项目。企业提供经费和资源，支持高校开展新工科、新医科、新农科、新文科研究与实践，推动校企合作办学、合作育人、合作就业、合作发展，深入开展多样化探索实践，形成可推广的建设改革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教学内容和课程体系改革项目。企业提供经费、师资、技术、平台等，将产业和技术最新进展、行业对人才培养的最新要求引入教学过程，推动高校更新教学内容、完善课程体系，建设适应行业发展需要、可共享的课程、教材、教学案例等资源并推广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（三）师资培训项目。企业提供经费和资源，由高校和企业共同组织开展面向教师的技术培训、经验分享、项目研究等工作，提升教师教学水平和实践能力。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（四）实践条件和实践基地建设项目。企业提供资金、软硬件设备或平台，支持高校建设实验室、实践基地、实践教学资源等，鼓励企业接收学生实习实训，提高实践教学质量。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（五）创新创业教育改革项目。企业提供师资、软硬件条件、投资基金等，支持高校加强创新创业教育课程体系、实践训练体系、创客空间、项目孵化转化平台等建设，深化创新创业教育改革。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（六）创新创业联合基金项目。企业提供资金、指导教师和项目研究方向，支持高校学生进行创新创业实践。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第二章　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第五条　教育部是产学合作协同育人项目的宏观管理部门，主要职责是：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（一）制定有关政策和项目管理办法，编制发展规划和年度工作重点，统筹推进和指导项目规范运行；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（二）组建并指导专家组织开展研究、咨询、指导、评估、成果交流等工作；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（三）指导开展指南征集、项目遴选、过程监管、结题验收、成果展示等工作。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第六条　省级教育行政部门的主要职责是：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（一）制定本区域深化产教融合、推进产学合作的政策措施；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（二）指导本区域高校积极参加产学合作协同育人项目，做好过程监管、优秀项目推选等工作；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（三）指导本区域相关专家组织开展研究、咨询、指导、评估、成果交流等工作。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第七条　参与产学合作协同育人项目的高校是项目运行管理的主体，主要职责是：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（一）建立健全高校产学合作协同育人项目组织管理体系，制定工作实施细则；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（二）为项目实施提供环境及条件支持，配备项目管理人员；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（三）负责高校产学合作协同育人项目的论证、遴选、中期检查、结题验收、优秀项目推选等运行管理工作；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（四）负责高校产学合作协同育人项目的日常监督管理和年度总结工作，遴选推荐优秀项目。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第八条　参与产学合作协同育人项目的企业的主要职责是：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（一）发布项目指南，接受高校项目合作申请，开展指南解读、高校合作洽谈、项目咨询、合作意向对接等工作；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（二）规范项目运行，严格过程管理，确保承诺的项目支持经费、软硬件等资源及时足额到位，保障项目顺利实施；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（三）组织项目结题验收，报送项目年度实施情况报告。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第三章　项目指南征集与发布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第九条　根据国家经济社会发展需求确定年度征集重点领域和批次，面向企业征集产学合作协同育人项目指南。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第十条　支持鼓励符合下列要求的企业提交产学合作协同育人项目指南。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（一）具有独立法人资格，成立至少2年，在所属行业及领域具有较为领先的技术力量和研发实力，业务稳定、业绩良好，注册实缴资金原则上在500万元以上；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参与企业应具有健全的财务制度，信用良好，无欺瞒、诈骗等不良记录，并能提供国家相关职能部门或机构出具的企业信用良好报告，且未发现有本办法第三十一条所列禁止性行为。在相关领域具有与高校开展合作的良好基础，有2名（含）以上合作高校高级职称专家出具的推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（三）鼓励企业每批次提供的实际支持资金总额不少于50万元（不包含软硬件等投入）。实际支持资金作为产学合作协同育人项目专项经费，不附带附加条件；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（四）企业指定专人负责产学合作协同育人项目相关事宜。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第十一条　符合参与要求且有校企合作意向的企业根据相关规定，按要求编制提交项目指南。指南应包括支持项目类型及规模、申请条件、建设目标、支持举措、预期成果及有关要求等内容。指南应在符合法律法规规定的基础上，与产业发展需求、企业人才需求、高校人才培养要求相结合，预期成果应具有创新性和可考核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第十二条　鼓励企业对产学合作协同育人项目在符合法律法规规定基础之上进行资助，资助应满足以下基本条件：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（一）新工科、新医科、新农科、新文科建设项目，教学内容和课程体系改革项目，创新创业教育改革项目等实际支持资金不少于5万元/项；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（二）师资培训项目、创新创业联合基金项目等实际支持资金不少于2万元/项；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（三）实践条件和实践基地建设项目软硬件支持价值总额不少于20万元/项；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（四）申请条件应公开、透明，面向全体符合条件的高校；不得指定合作高校，不得强制要求高校建立联合实验室、提供软硬件及资金配套、挂牌等；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（五）项目实施期限一般为1—2年，特殊情况以项目合同约定为准。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第十三条　组织专家对企业材料和项目指南进行指导，提出指导意见。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第十四条　经备案审查，符合要求的项目指南面向社会公开发布。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第四章　项目申请、论证与立项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第十五条　高校根据项目指南，组织师生自主进行项目申请，做好申请项目的遴选工作。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第十六条　企业根据项目指南约定，按照公平公正的原则自主组织专家开展项目论证工作，并将校企双方达成合作意向的项目向社会公示。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第十七条　企业每批次立项数量不应少于2项；高校提交数量超过指南发布项目数量时，立项项目数量不应低于指南发布项目数量的50%；高校提交数量未达到指南发布项目数量时，立项项目数量不应低于提交数量的50%。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第十八条　经公示无异议的项目，校企双方签署合作协议，协议须明确项目内容、资助形式及时间、预期成果、项目周期和验收标准等事项。高校负责将签订后的协议进行报备。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第十九条　组织专家对企业提交的项目立项结果进行核定，最终结果经审查备案后向社会公布。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第五章　项目启动与实施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第二十条　立项结果发布后，校企双方应积极启动项目研究，按照合作协议约定确保落实经费拨款及软硬件支持等事项。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第二十一条　项目负责人应组织好项目实施，做好项目实施情况记录，及时向高校主管部门和企业相关负责人报告项目执行中出现的重大事项，按要求提供项目进展情况报告。项目实施过程中，项目负责人一般不得更换。确因项目负责人调离或不能继续履行合作协议等情况，由校企双方协商更换人选，协商不一致时可终止该项目，并将项目变更情况上报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第二十二条　校企双方应保持密切沟通联系，落实项目指南及合作协议承诺，保证项目顺利实施，接受并配合有关方面对项目的运行监管。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第六章　项目结题验收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第二十三条　项目负责人在合作协议约定时间内完成全部任务，经高校同意，向企业提出项目结题申请，并按合作协议提交相关证明材料。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第二十四条　企业组织专家进行项目验收，按要求报告验收结论。企业对项目的验收结论分为“通过”“不通过”两类。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（一）按期完成合作协议约定的各项任务，提供的验收资料齐全、数据真实，验收结论为“通过”；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（二）项目存在下列情况之一者，验收结论为“不通过”：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1.未按合作协议约定完成预定的目标、任务或私自更改项目研究目标、任务；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2.提供的验收文件、资料、数据不真实；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3.实施过程中出现重大问题，或存在尚未解决的纠纷；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4.实施过程中存在违法违规行为。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第二十五条　高校从当年申请结题的项目中，择优向省级教育行政部门推荐优秀项目；省级教育行政部门组织相关专家在本区域高校推荐的优秀项目中择优进行推荐。高校推荐的优秀项目数量原则上不超过本校当年已通过结题验收项目数量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第二十六条　组织专家对企业提交的验收结论和省级教育行政部门推荐的优秀项目进行评估和汇总，发布本年度验收情况。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第七章　知识产权与成果转化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第二十七条　项目成果的知识产权由企业、高校和项目承担人员依合作协议确定。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第二十八条　建立产学合作协同育人项目成果库，将验收通过的项目成果集中向社会公开，对优秀项目成果以适当方式展示推广。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第二十九条　充分发挥项目成果的经济效益和社会效益，支持项目成果向课程、教材、课件、案例转化，向解决方案及决策咨询方案转化，向公共服务平台产品转化。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第八章　项目监管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第三十条　积极支持第三方机构开展项目评价，健全统计评价体系。强化监测评价结果运用，作为试点开展、激励约束的重要依据。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第三十一条　参与企业应进一步规范、约束自身行为，坚决杜绝下列类似情况发生。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（一）在项目指南、项目结题等材料中出现不实陈述，伪造企业信用证明、专家推荐材料等；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（二）未按协议约定落实资金及软硬件资源，在合作协议约定之外，强制要求高校提供软硬件及资金配套，项目实施内容与协议约定不一致等违背项目指南及合作协议约定的行为；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（三）以评审费、咨询费、押金等形式要求高校交纳相关费用，因企业原因造成沟通不畅、项目执行困难等行为；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（四）借教育部、产学合作协同育人项目名义进行产品或服务搭售、商业推广宣传，擅自印发带有教育部及相关组织机构名称的立项证书、结题证书、牌匾等不当行为；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（五）其他不按项目管理办法执行及违法违规的行为。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第三十二条　参与高校应积极组织相关部门开展项目监管工作，坚决杜绝下列类似情况发生。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（一）项目组织管理体系不健全、管理制度缺失、条件支持保障不到位；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（二）因高校自身原因出现超期未完成或终止项目达到当年立项总数的30%或以上；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（三）高校相关部门未尽到财务、国有资产、纪检监察等监管职责，致使项目运行中出现违法违规行为；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（四）其他违背产教融合精神及违法违规行为。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第三十三条　项目负责人应积极开展项目研究工作，坚决杜绝下列类似情况发生。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（一）提供虚假材料，对项目运行中出现的问题谎报瞒报，对项目成果进行虚假宣传等行为；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（二）以项目名义进行营利、套取教学及科研资源、以权谋私等行为；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（三）因个人原因导致项目超期未完成或终止，项目成果与预期有较大差距；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（四）私自篡改项目名称，研究内容与批准的项目设计严重不符、研究过程中剽窃他人成果等行为；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（五）存在其他违法违规行为。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28"/>
          <w:szCs w:val="28"/>
        </w:rPr>
      </w:pPr>
      <w:r>
        <w:rPr>
          <w:rStyle w:val="6"/>
          <w:rFonts w:hint="eastAsia" w:ascii="微软雅黑" w:hAnsi="微软雅黑" w:eastAsia="微软雅黑" w:cs="微软雅黑"/>
          <w:i w:val="0"/>
          <w:caps w:val="0"/>
          <w:color w:val="auto"/>
          <w:spacing w:val="0"/>
          <w:sz w:val="28"/>
          <w:szCs w:val="28"/>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第三十四条　“产学合作协同育人项目”的英文名称为：University-Industry Collaborative Education Program。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8"/>
          <w:szCs w:val="28"/>
        </w:rPr>
      </w:pPr>
      <w:r>
        <w:rPr>
          <w:rFonts w:hint="eastAsia" w:ascii="微软雅黑" w:hAnsi="微软雅黑" w:eastAsia="微软雅黑" w:cs="微软雅黑"/>
          <w:i w:val="0"/>
          <w:caps w:val="0"/>
          <w:color w:val="auto"/>
          <w:spacing w:val="0"/>
          <w:sz w:val="28"/>
          <w:szCs w:val="28"/>
          <w:shd w:val="clear" w:fill="FFFFFF"/>
        </w:rPr>
        <w:t>　　第三十五条　本办法自印发之日起施行，由教育部负责解释。</w:t>
      </w: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536C36"/>
    <w:rsid w:val="7459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2020-12-03T02:54:00Z</dcterms:created>
  <dc:creator>admin</dc:creator>
  <cp:lastModifiedBy>水中鱼儿</cp:lastModifiedBy>
  <dcterms:modified xsi:type="dcterms:W3CDTF">2020-12-14T07:06:22Z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