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53B2D5">
      <w:pPr>
        <w:snapToGrid w:val="0"/>
        <w:spacing w:line="580" w:lineRule="exact"/>
        <w:rPr>
          <w:rFonts w:hint="eastAsia" w:ascii="黑体" w:hAnsi="黑体" w:eastAsia="黑体" w:cs="Times New Roman"/>
          <w:bCs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bCs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Times New Roman"/>
          <w:bCs/>
          <w:color w:val="000000"/>
          <w:sz w:val="32"/>
          <w:szCs w:val="32"/>
          <w:lang w:val="en-US" w:eastAsia="zh-CN"/>
        </w:rPr>
        <w:t>1</w:t>
      </w:r>
      <w:bookmarkStart w:id="0" w:name="_GoBack"/>
      <w:bookmarkEnd w:id="0"/>
    </w:p>
    <w:p w14:paraId="0D37A987">
      <w:pPr>
        <w:snapToGrid w:val="0"/>
        <w:spacing w:line="580" w:lineRule="exact"/>
        <w:jc w:val="center"/>
        <w:rPr>
          <w:rFonts w:ascii="黑体" w:hAnsi="黑体" w:eastAsia="黑体" w:cs="Times New Roman"/>
          <w:bCs/>
          <w:color w:val="000000"/>
          <w:sz w:val="36"/>
          <w:szCs w:val="36"/>
        </w:rPr>
      </w:pPr>
      <w:r>
        <w:rPr>
          <w:rFonts w:hint="eastAsia" w:ascii="黑体" w:hAnsi="黑体" w:eastAsia="黑体" w:cs="Times New Roman"/>
          <w:bCs/>
          <w:color w:val="000000"/>
          <w:sz w:val="36"/>
          <w:szCs w:val="36"/>
        </w:rPr>
        <w:t>省级精品在线开放课程建设标准（试行）</w:t>
      </w:r>
    </w:p>
    <w:p w14:paraId="6A9AB68C">
      <w:pPr>
        <w:snapToGrid w:val="0"/>
        <w:spacing w:line="580" w:lineRule="exact"/>
        <w:ind w:firstLine="720"/>
        <w:jc w:val="center"/>
        <w:rPr>
          <w:rFonts w:ascii="黑体" w:hAnsi="黑体" w:eastAsia="黑体" w:cs="Times New Roman"/>
          <w:bCs/>
          <w:color w:val="000000"/>
          <w:sz w:val="36"/>
          <w:szCs w:val="36"/>
        </w:rPr>
      </w:pPr>
    </w:p>
    <w:p w14:paraId="3FAF6578">
      <w:pPr>
        <w:snapToGrid w:val="0"/>
        <w:spacing w:line="580" w:lineRule="exact"/>
        <w:ind w:firstLine="720"/>
        <w:rPr>
          <w:rFonts w:ascii="黑体" w:hAnsi="黑体" w:eastAsia="黑体" w:cs="Times New Roman"/>
          <w:bCs/>
          <w:color w:val="000000"/>
          <w:sz w:val="36"/>
          <w:szCs w:val="36"/>
        </w:rPr>
      </w:pPr>
      <w:r>
        <w:rPr>
          <w:rFonts w:hint="eastAsia" w:ascii="黑体" w:hAnsi="黑体" w:eastAsia="黑体" w:cs="Times New Roman"/>
          <w:bCs/>
          <w:color w:val="000000"/>
          <w:sz w:val="36"/>
          <w:szCs w:val="36"/>
        </w:rPr>
        <w:t>一、</w:t>
      </w:r>
      <w:r>
        <w:rPr>
          <w:rFonts w:hint="eastAsia" w:ascii="黑体" w:hAnsi="黑体" w:eastAsia="黑体" w:cs="Times New Roman"/>
          <w:color w:val="000000"/>
          <w:sz w:val="32"/>
          <w:szCs w:val="32"/>
        </w:rPr>
        <w:t>课程建设总体要求</w:t>
      </w:r>
    </w:p>
    <w:p w14:paraId="226BAA2D">
      <w:pPr>
        <w:snapToGrid w:val="0"/>
        <w:spacing w:line="580" w:lineRule="exact"/>
        <w:ind w:firstLine="640"/>
        <w:rPr>
          <w:rFonts w:ascii="Calibri" w:hAnsi="Calibri" w:eastAsia="仿宋_GB2312" w:cs="Times New Roman"/>
          <w:color w:val="000000"/>
          <w:sz w:val="32"/>
          <w:szCs w:val="32"/>
        </w:rPr>
      </w:pPr>
      <w:r>
        <w:rPr>
          <w:rFonts w:ascii="Calibri" w:hAnsi="Calibri" w:eastAsia="仿宋_GB2312" w:cs="Times New Roman"/>
          <w:color w:val="000000"/>
          <w:sz w:val="32"/>
          <w:szCs w:val="32"/>
        </w:rPr>
        <w:t xml:space="preserve">1. </w:t>
      </w:r>
      <w:r>
        <w:rPr>
          <w:rFonts w:hint="eastAsia" w:ascii="Calibri" w:hAnsi="Calibri" w:eastAsia="仿宋_GB2312" w:cs="Times New Roman"/>
          <w:color w:val="000000"/>
          <w:sz w:val="32"/>
          <w:szCs w:val="32"/>
        </w:rPr>
        <w:t>教学内容与资源。根据预设教学目标、学科特点、学生认知规律及教学方式，围绕学科核心概念及教学内容和资源间关系，碎片化组织教学内容及资源、设置教学情境，形成围绕知识点展开、清晰表达知识框架的短视频模块集。每个短视频以</w:t>
      </w:r>
      <w:r>
        <w:rPr>
          <w:rFonts w:ascii="Calibri" w:hAnsi="Calibri" w:eastAsia="仿宋_GB2312" w:cs="Times New Roman"/>
          <w:color w:val="000000"/>
          <w:sz w:val="32"/>
          <w:szCs w:val="32"/>
        </w:rPr>
        <w:t>5-15</w:t>
      </w:r>
      <w:r>
        <w:rPr>
          <w:rFonts w:hint="eastAsia" w:ascii="Calibri" w:hAnsi="Calibri" w:eastAsia="仿宋_GB2312" w:cs="Times New Roman"/>
          <w:color w:val="000000"/>
          <w:sz w:val="32"/>
          <w:szCs w:val="32"/>
        </w:rPr>
        <w:t>分钟时长为宜，针对各模块知识点或专题应设置内嵌测试的作业题或讨论题，以帮助学习者掌握学习内容或测试学习者学习效果。每门课程应有负责人介绍、课程介绍、教学大纲、预备知识、教学辅导、参考资料、考核方式、在线作业、在线题库和在线答疑等。课程设置应与本校课堂教学的要求相当。</w:t>
      </w:r>
    </w:p>
    <w:p w14:paraId="3A3F405E">
      <w:pPr>
        <w:snapToGrid w:val="0"/>
        <w:spacing w:line="580" w:lineRule="exact"/>
        <w:ind w:firstLine="640"/>
        <w:rPr>
          <w:rFonts w:ascii="Calibri" w:hAnsi="Calibri" w:eastAsia="仿宋_GB2312" w:cs="Times New Roman"/>
          <w:color w:val="000000"/>
          <w:sz w:val="32"/>
          <w:szCs w:val="32"/>
        </w:rPr>
      </w:pPr>
      <w:r>
        <w:rPr>
          <w:rFonts w:ascii="Calibri" w:hAnsi="Calibri" w:eastAsia="仿宋_GB2312" w:cs="Times New Roman"/>
          <w:color w:val="000000"/>
          <w:sz w:val="32"/>
          <w:szCs w:val="32"/>
        </w:rPr>
        <w:t xml:space="preserve">2. </w:t>
      </w:r>
      <w:r>
        <w:rPr>
          <w:rFonts w:hint="eastAsia" w:ascii="Calibri" w:hAnsi="Calibri" w:eastAsia="仿宋_GB2312" w:cs="Times New Roman"/>
          <w:color w:val="000000"/>
          <w:sz w:val="32"/>
          <w:szCs w:val="32"/>
        </w:rPr>
        <w:t>教学设计与方法。要遵循有效教学的基本规律，结合在线开放课程教学的特征与需求进行整体的教学设计。围绕教学目标精心设计教学活动，科学规划在线学习资源，明确学业评价策略和学习激励措施。课程设计、教学安排和呈现方式符合学习者移动学习和混合式教学的需求。开展在线学习与课堂教学相结合、翻转课堂等多种方式的课堂教学模式，优先支持具有混合式学习等改革实践经验的课程。</w:t>
      </w:r>
    </w:p>
    <w:p w14:paraId="6C170AA8">
      <w:pPr>
        <w:spacing w:line="580" w:lineRule="exact"/>
        <w:ind w:firstLine="640"/>
        <w:rPr>
          <w:rFonts w:ascii="Calibri" w:hAnsi="Calibri" w:eastAsia="仿宋_GB2312" w:cs="Times New Roman"/>
          <w:color w:val="000000"/>
          <w:sz w:val="32"/>
          <w:szCs w:val="32"/>
        </w:rPr>
      </w:pPr>
      <w:r>
        <w:rPr>
          <w:rFonts w:ascii="Calibri" w:hAnsi="Calibri" w:eastAsia="仿宋_GB2312" w:cs="Times New Roman"/>
          <w:color w:val="000000"/>
          <w:sz w:val="32"/>
          <w:szCs w:val="32"/>
        </w:rPr>
        <w:t xml:space="preserve">3. </w:t>
      </w:r>
      <w:r>
        <w:rPr>
          <w:rFonts w:hint="eastAsia" w:ascii="Calibri" w:hAnsi="Calibri" w:eastAsia="仿宋_GB2312" w:cs="Times New Roman"/>
          <w:color w:val="000000"/>
          <w:sz w:val="32"/>
          <w:szCs w:val="32"/>
        </w:rPr>
        <w:t>教学活动与评价。要重视学习任务与活动设计，积极</w:t>
      </w: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开展案例式、混合式、探究式等多种教学模式的学习，通过网页插入式在线测试、即时网上辅导反馈、线上线下讨论、网上作业提交和批改、网上社区讨论等，</w:t>
      </w:r>
      <w:r>
        <w:rPr>
          <w:rFonts w:hint="eastAsia" w:ascii="Calibri" w:hAnsi="Calibri" w:eastAsia="仿宋_GB2312" w:cs="Times New Roman"/>
          <w:color w:val="000000"/>
          <w:sz w:val="32"/>
          <w:szCs w:val="32"/>
        </w:rPr>
        <w:t>促进师生之间、学生之间进行资源共享、问题交流和协作学习。</w:t>
      </w:r>
    </w:p>
    <w:p w14:paraId="5DEF035B">
      <w:pPr>
        <w:spacing w:line="580" w:lineRule="exact"/>
        <w:ind w:firstLine="640"/>
        <w:rPr>
          <w:rFonts w:ascii="Calibri" w:hAnsi="Calibri" w:eastAsia="仿宋_GB2312" w:cs="Times New Roman"/>
          <w:color w:val="000000"/>
          <w:sz w:val="32"/>
          <w:szCs w:val="32"/>
        </w:rPr>
      </w:pPr>
      <w:r>
        <w:rPr>
          <w:rFonts w:hint="eastAsia" w:ascii="Calibri" w:hAnsi="Calibri" w:eastAsia="仿宋_GB2312" w:cs="Times New Roman"/>
          <w:color w:val="000000"/>
          <w:sz w:val="32"/>
          <w:szCs w:val="32"/>
        </w:rPr>
        <w:t>建立多元化学习评价体系，探索线上和线下融合，过程性评价与终结性评价相结合的多元化考核评价模式，促进学生自主性学习、过程性学习和体验式学习。课程成绩由过程性考核和终结性考核综合评定。</w:t>
      </w:r>
    </w:p>
    <w:p w14:paraId="53BCCCC6">
      <w:pPr>
        <w:spacing w:line="580" w:lineRule="exact"/>
        <w:ind w:firstLine="640"/>
        <w:rPr>
          <w:rFonts w:ascii="Calibri" w:hAnsi="Calibri" w:eastAsia="仿宋_GB2312" w:cs="Times New Roman"/>
          <w:color w:val="000000"/>
          <w:sz w:val="32"/>
          <w:szCs w:val="32"/>
        </w:rPr>
      </w:pPr>
      <w:r>
        <w:rPr>
          <w:rFonts w:ascii="Calibri" w:hAnsi="Calibri" w:eastAsia="仿宋_GB2312" w:cs="Times New Roman"/>
          <w:color w:val="000000"/>
          <w:sz w:val="32"/>
          <w:szCs w:val="32"/>
        </w:rPr>
        <w:t xml:space="preserve">4. </w:t>
      </w:r>
      <w:r>
        <w:rPr>
          <w:rFonts w:hint="eastAsia" w:ascii="Calibri" w:hAnsi="Calibri" w:eastAsia="仿宋_GB2312" w:cs="Times New Roman"/>
          <w:color w:val="000000"/>
          <w:sz w:val="32"/>
          <w:szCs w:val="32"/>
        </w:rPr>
        <w:t>教学效果与影响。要注重对教学效果的跟踪评价并开展教学研究工作。基于大数据信息采集分析，</w:t>
      </w: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全程记录和跟踪教师的教学和学生的学习过程、内容、反馈，全面跟踪和掌握每个学生的个性特点、学习行为，改进学校及教师的教学质量，促进因材施教。</w:t>
      </w:r>
    </w:p>
    <w:p w14:paraId="4CA1AC22">
      <w:pPr>
        <w:snapToGrid w:val="0"/>
        <w:spacing w:line="580" w:lineRule="exact"/>
        <w:ind w:firstLine="640"/>
        <w:rPr>
          <w:rFonts w:ascii="仿宋_GB2312" w:hAnsi="宋体" w:eastAsia="仿宋_GB2312" w:cs="Times New Roman"/>
          <w:color w:val="000000"/>
          <w:sz w:val="32"/>
          <w:szCs w:val="32"/>
        </w:rPr>
      </w:pPr>
      <w:r>
        <w:rPr>
          <w:rFonts w:hint="eastAsia" w:ascii="Calibri" w:hAnsi="Calibri" w:eastAsia="仿宋_GB2312" w:cs="Times New Roman"/>
          <w:color w:val="000000"/>
          <w:sz w:val="32"/>
          <w:szCs w:val="32"/>
        </w:rPr>
        <w:t>充分发挥课程共享作用，推进在线开放课程学分认定和学分管理制度创新。</w:t>
      </w: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支持各高校之间在合作、共赢、协议的基础上实现在线开放共享课程的互认。课程的初始学分由推荐该课程的高校设定，其它高校可在双方协议的基础上，根据本校专业设置和课程学分设置标准自行认定学分。</w:t>
      </w:r>
    </w:p>
    <w:p w14:paraId="2A9DBF2D">
      <w:pPr>
        <w:snapToGrid w:val="0"/>
        <w:spacing w:line="580" w:lineRule="exact"/>
        <w:ind w:firstLine="640"/>
        <w:rPr>
          <w:rFonts w:ascii="Calibri" w:hAnsi="Calibri" w:eastAsia="仿宋_GB2312" w:cs="Times New Roman"/>
          <w:color w:val="000000"/>
          <w:sz w:val="32"/>
          <w:szCs w:val="32"/>
        </w:rPr>
      </w:pPr>
      <w:r>
        <w:rPr>
          <w:rFonts w:ascii="Calibri" w:hAnsi="Calibri" w:eastAsia="仿宋_GB2312" w:cs="Times New Roman"/>
          <w:color w:val="000000"/>
          <w:sz w:val="32"/>
          <w:szCs w:val="32"/>
        </w:rPr>
        <w:t xml:space="preserve">5. </w:t>
      </w:r>
      <w:r>
        <w:rPr>
          <w:rFonts w:hint="eastAsia" w:ascii="Calibri" w:hAnsi="Calibri" w:eastAsia="仿宋_GB2312" w:cs="Times New Roman"/>
          <w:color w:val="000000"/>
          <w:sz w:val="32"/>
          <w:szCs w:val="32"/>
        </w:rPr>
        <w:t>团队支持与服务。课程建设负责人应为高校正式聘用，具有丰富的教学经验和较高的学术造诣的教师，课程组成员均在教学一线长期承担本课程教学任务。支持和鼓励教学名师、知名专家主讲开放课程。除主讲教师外，还需配备必要助理教师和现代教育技术人员，能长期在线服务课程建设，承担课程内容更新、在线辅导、答疑等。课程正式运行后，能保证每学年都对外校开放。课程团队应负责课程相关教师的培训及教学研讨工作。通过在线开放课程建设，形成一支教学、辅导、设计和技术支持等结构合理、人员稳定、教学水平高、教学效果好、资源设计和制作能力强的优秀课程教学团队。</w:t>
      </w:r>
    </w:p>
    <w:p w14:paraId="464287CE">
      <w:pPr>
        <w:snapToGrid w:val="0"/>
        <w:spacing w:line="580" w:lineRule="exact"/>
        <w:ind w:firstLine="480" w:firstLineChars="150"/>
        <w:rPr>
          <w:rFonts w:ascii="Calibri" w:hAnsi="Calibri" w:eastAsia="仿宋_GB2312" w:cs="Times New Roman"/>
          <w:color w:val="000000"/>
          <w:sz w:val="32"/>
          <w:szCs w:val="32"/>
        </w:rPr>
      </w:pPr>
      <w:r>
        <w:rPr>
          <w:rFonts w:ascii="Calibri" w:hAnsi="Calibri" w:eastAsia="仿宋_GB2312" w:cs="Times New Roman"/>
          <w:color w:val="000000"/>
          <w:sz w:val="32"/>
          <w:szCs w:val="32"/>
        </w:rPr>
        <w:t xml:space="preserve"> 6. </w:t>
      </w:r>
      <w:r>
        <w:rPr>
          <w:rFonts w:hint="eastAsia" w:ascii="Calibri" w:hAnsi="Calibri" w:eastAsia="仿宋_GB2312" w:cs="Times New Roman"/>
          <w:color w:val="000000"/>
          <w:sz w:val="32"/>
          <w:szCs w:val="32"/>
        </w:rPr>
        <w:t>信息安全及知识产权保障。严格遵守国家网络与信息安全管理规范，依法依规开展教学活动，实施对课程内容、讨论内容、学习过程内容的有效监管，防范和及时制止网络有害信息的传播。重视版权和知识产权问题，构建课程内容所使用的图片、音视频等素材应注明出处。相关高校、课程建设团队均须签订平等互利的知识产权保障协议，明确各方权利和义务，切实保障各方权益。</w:t>
      </w:r>
    </w:p>
    <w:p w14:paraId="4D5289D5">
      <w:pPr>
        <w:snapToGrid w:val="0"/>
        <w:spacing w:line="580" w:lineRule="exact"/>
        <w:ind w:firstLine="640"/>
        <w:rPr>
          <w:rFonts w:ascii="黑体" w:hAnsi="黑体" w:eastAsia="黑体" w:cs="Times New Roman"/>
          <w:color w:val="000000"/>
          <w:sz w:val="32"/>
          <w:szCs w:val="32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</w:rPr>
        <w:t>二、课程视频制作规范</w:t>
      </w:r>
    </w:p>
    <w:p w14:paraId="28849DB6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（一）视频内容</w:t>
      </w:r>
    </w:p>
    <w:p w14:paraId="2587EF47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1.屏幕图像的构图合理，画面主体突出。人像及肢体动作以及配合讲授选用的板书、画板、教具实物、模型和实验设备等均不能超出镜头所及范围。</w:t>
      </w:r>
    </w:p>
    <w:p w14:paraId="604B9750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2.演播室使用的背景采用彩色喷绘或电脑虚拟、实景等背景。建议采用彩色喷绘背景。背景的颜色、图案不易过多，应保持静态，画面应简洁、明快，有利于营造课堂气氛。</w:t>
      </w:r>
    </w:p>
    <w:p w14:paraId="11B1E208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3.摄像镜头应保持与主讲教师目光平视的角度。主讲教师不应较长时间仰视或俯视。</w:t>
      </w:r>
    </w:p>
    <w:p w14:paraId="43EF1C44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4.使用资料、图片、外景实拍、实验和表演等形象化教学手段，应符合教学内容要求，与讲授内容联系紧密，手段选用恰当。</w:t>
      </w:r>
    </w:p>
    <w:p w14:paraId="414142E4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5.选用影视作品或自拍素材，应注明素材来源。影视作品或自拍素材中涉及人物访谈内容时，除应加注人物介绍外，还应采用滚动式同声字幕。</w:t>
      </w:r>
    </w:p>
    <w:p w14:paraId="3685EC87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6.选用的资料、图片等素材画面应清楚，对于历史资料、图片应进行再加工。选用的资料、图片等素材应注明素材来源及原始信息（如字画的作品、生卒年月，影视片断的作品名称、创作年代等信息）。</w:t>
      </w:r>
    </w:p>
    <w:p w14:paraId="5F220939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7.动画的设计与使用，要与课程内容相贴切，能够发挥良好的教学效果。</w:t>
      </w:r>
    </w:p>
    <w:p w14:paraId="0B9AB543">
      <w:pPr>
        <w:spacing w:line="580" w:lineRule="exact"/>
        <w:ind w:firstLine="480" w:firstLineChars="15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 xml:space="preserve"> 8.动画的实现须流畅、合理、图像清晰，具有较强的可视性。</w:t>
      </w:r>
    </w:p>
    <w:p w14:paraId="304F0D55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（二）视频技术规格</w:t>
      </w:r>
    </w:p>
    <w:p w14:paraId="4221A737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1.视频信号源</w:t>
      </w:r>
    </w:p>
    <w:p w14:paraId="1EEEDDD0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（1）稳定性：全片图像同步性能稳定，无失步现象，CTL同步控制信号必须连续：图像无抖动跳跃，色彩无突变，编辑点处图像稳定。</w:t>
      </w:r>
    </w:p>
    <w:p w14:paraId="75F960A8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（2）信噪比：图像信噪比不低于55dB，无明显杂波。</w:t>
      </w:r>
    </w:p>
    <w:p w14:paraId="21F9C28F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（3）色调：白平衡正确，无明显偏色，多机拍摄的镜头衔接处无明显色差。</w:t>
      </w:r>
    </w:p>
    <w:p w14:paraId="1DBE9F84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（4）视频电平：视频全讯号幅度为1Ⅴp-p，最大不超过1.1Ⅴ p-p。其中，消隐电平为0V时，白电平幅度0.7Ⅴp-p，同步信号-0.3V，色同步信号幅度0.3V p-p (以消隐线上下对称)，全片一致。</w:t>
      </w:r>
    </w:p>
    <w:p w14:paraId="2DBBF12A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2.音频信号源</w:t>
      </w:r>
    </w:p>
    <w:p w14:paraId="748DC214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（1）声道：中文内容音频信号记录于第1声道，音乐、音效、同期声记录于第2声道，若有其他文字解说记录于第3声道(如录音设备无第3声道,则录于第2声道)。</w:t>
      </w:r>
    </w:p>
    <w:p w14:paraId="68AE4DC5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（2）电平指标：-2db —— -8db声音应无明显失真、放音过冲、过弱。</w:t>
      </w:r>
    </w:p>
    <w:p w14:paraId="4B21AB35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（3）音频信噪比不低于48db。</w:t>
      </w:r>
    </w:p>
    <w:p w14:paraId="3871BAA7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（4）声音和画面要求同步，无交流声或其他杂音等缺陷。</w:t>
      </w:r>
    </w:p>
    <w:p w14:paraId="6A349116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（5）伴音清晰、饱满、圆润，无失真、噪声杂音干扰、音量忽大忽小现象。解说声与现场声无明显比例失调，解说声与背景音乐无明显比例失调。</w:t>
      </w:r>
    </w:p>
    <w:p w14:paraId="2B923D43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3.视频压缩格式及技术参数</w:t>
      </w:r>
    </w:p>
    <w:p w14:paraId="47BE105C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（1）视频压缩采用H.264/AVC (MPEG-4 Part10)编码、使用二次编码、不包含字幕的MP4格式。</w:t>
      </w:r>
    </w:p>
    <w:p w14:paraId="13F4648F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（2）视频码流率：动态码流的最低码率不得低于1024Kb</w:t>
      </w:r>
    </w:p>
    <w:p w14:paraId="2ECD349D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（3）视频分辨率</w:t>
      </w:r>
    </w:p>
    <w:p w14:paraId="71D90558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前期采用标清4:3拍摄时，请设定为 720×576</w:t>
      </w:r>
    </w:p>
    <w:p w14:paraId="5A47F47D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前期采用高清16:9拍摄时，请设定为 1280×720或1920×1080。</w:t>
      </w:r>
    </w:p>
    <w:p w14:paraId="67D9D3AE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（4）视频画幅宽高比</w:t>
      </w:r>
    </w:p>
    <w:p w14:paraId="1F4A17C6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分辨率设定为 720×576的，请选定 4:3</w:t>
      </w:r>
    </w:p>
    <w:p w14:paraId="0AE5A867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分辨率设定为1280×720或1920×1080的，请选定 16:9</w:t>
      </w:r>
    </w:p>
    <w:p w14:paraId="2AE4EBCE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（5）视频帧率为25帧/秒</w:t>
      </w:r>
    </w:p>
    <w:p w14:paraId="123A768A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（6）扫描方式采用逐行扫描</w:t>
      </w:r>
    </w:p>
    <w:p w14:paraId="34F635DE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4.音频压缩格式及技术参数</w:t>
      </w:r>
    </w:p>
    <w:p w14:paraId="26E395EF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（1）音频压缩采用AAC(MPEG4 Part3)格式</w:t>
      </w:r>
    </w:p>
    <w:p w14:paraId="69DBE2CE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 xml:space="preserve">（2）采样率48KHz </w:t>
      </w:r>
    </w:p>
    <w:p w14:paraId="5A8CCABA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（3）音频码流率128Kbps (恒定)</w:t>
      </w:r>
    </w:p>
    <w:p w14:paraId="3DBA1872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（4）必须是双声道，必须做混音处理。</w:t>
      </w:r>
    </w:p>
    <w:p w14:paraId="67EB0766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5.封装</w:t>
      </w:r>
    </w:p>
    <w:p w14:paraId="724A99CB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采用MP4封装</w:t>
      </w:r>
    </w:p>
    <w:p w14:paraId="17F75F41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（三）演示文稿（PPT）制作规范</w:t>
      </w:r>
    </w:p>
    <w:p w14:paraId="6607FB90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1.制作原则</w:t>
      </w:r>
    </w:p>
    <w:p w14:paraId="365075C6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（1）演示文稿（PPT）要求集文字、图形、图像、声音以及视频等多种媒体元素于一体，一般不使用纯文字的演示文稿（PPT）。</w:t>
      </w:r>
    </w:p>
    <w:p w14:paraId="343482C6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（2）页面设置要求符合高清格式比例，幻灯片大小为“全屏显示16：9”。</w:t>
      </w:r>
    </w:p>
    <w:p w14:paraId="1896437D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（3）整体效果应风格统一、色彩协调、美观大方。</w:t>
      </w:r>
    </w:p>
    <w:p w14:paraId="3C458A5C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2.字体与字号</w:t>
      </w:r>
    </w:p>
    <w:p w14:paraId="0BA9763B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字体与字号参照下表：</w:t>
      </w:r>
    </w:p>
    <w:p w14:paraId="7D9ACFA6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</w:p>
    <w:tbl>
      <w:tblPr>
        <w:tblStyle w:val="4"/>
        <w:tblpPr w:leftFromText="180" w:rightFromText="180" w:vertAnchor="text" w:horzAnchor="margin" w:tblpX="250" w:tblpY="2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701"/>
        <w:gridCol w:w="1275"/>
        <w:gridCol w:w="1560"/>
        <w:gridCol w:w="1559"/>
        <w:gridCol w:w="1384"/>
      </w:tblGrid>
      <w:tr w14:paraId="4C92A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FE5A9">
            <w:pPr>
              <w:spacing w:line="580" w:lineRule="exact"/>
              <w:jc w:val="center"/>
              <w:rPr>
                <w:rFonts w:ascii="仿宋_GB2312" w:hAnsi="华文仿宋" w:eastAsia="仿宋_GB2312" w:cs="Times New Roman"/>
                <w:color w:val="000000"/>
                <w:sz w:val="24"/>
                <w:szCs w:val="24"/>
                <w:u w:color="000000"/>
              </w:rPr>
            </w:pPr>
            <w:r>
              <w:rPr>
                <w:rFonts w:hint="eastAsia" w:ascii="仿宋_GB2312" w:hAnsi="华文仿宋" w:eastAsia="仿宋_GB2312" w:cs="Times New Roman"/>
                <w:color w:val="000000"/>
                <w:sz w:val="24"/>
                <w:szCs w:val="24"/>
              </w:rPr>
              <w:t>类型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2D2AB">
            <w:pPr>
              <w:spacing w:line="580" w:lineRule="exact"/>
              <w:jc w:val="center"/>
              <w:rPr>
                <w:rFonts w:ascii="仿宋_GB2312" w:hAnsi="华文仿宋" w:eastAsia="仿宋_GB2312" w:cs="Times New Roman"/>
                <w:color w:val="000000"/>
                <w:sz w:val="24"/>
                <w:szCs w:val="24"/>
                <w:u w:color="000000"/>
              </w:rPr>
            </w:pPr>
            <w:r>
              <w:rPr>
                <w:rFonts w:hint="eastAsia" w:ascii="仿宋_GB2312" w:hAnsi="华文仿宋" w:eastAsia="仿宋_GB2312" w:cs="Times New Roman"/>
                <w:color w:val="000000"/>
                <w:sz w:val="24"/>
                <w:szCs w:val="24"/>
              </w:rPr>
              <w:t>大标题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CF6B0">
            <w:pPr>
              <w:spacing w:line="580" w:lineRule="exact"/>
              <w:jc w:val="center"/>
              <w:rPr>
                <w:rFonts w:ascii="仿宋_GB2312" w:hAnsi="华文仿宋" w:eastAsia="仿宋_GB2312" w:cs="Times New Roman"/>
                <w:color w:val="000000"/>
                <w:sz w:val="24"/>
                <w:szCs w:val="24"/>
                <w:u w:color="000000"/>
              </w:rPr>
            </w:pPr>
            <w:r>
              <w:rPr>
                <w:rFonts w:hint="eastAsia" w:ascii="仿宋_GB2312" w:hAnsi="华文仿宋" w:eastAsia="仿宋_GB2312" w:cs="Times New Roman"/>
                <w:color w:val="000000"/>
                <w:sz w:val="24"/>
                <w:szCs w:val="24"/>
              </w:rPr>
              <w:t>主讲信息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4AB66">
            <w:pPr>
              <w:spacing w:line="580" w:lineRule="exact"/>
              <w:jc w:val="center"/>
              <w:rPr>
                <w:rFonts w:ascii="仿宋_GB2312" w:hAnsi="华文仿宋" w:eastAsia="仿宋_GB2312" w:cs="Times New Roman"/>
                <w:color w:val="000000"/>
                <w:sz w:val="24"/>
                <w:szCs w:val="24"/>
                <w:u w:color="000000"/>
              </w:rPr>
            </w:pPr>
            <w:r>
              <w:rPr>
                <w:rFonts w:hint="eastAsia" w:ascii="仿宋_GB2312" w:hAnsi="华文仿宋" w:eastAsia="仿宋_GB2312" w:cs="Times New Roman"/>
                <w:color w:val="000000"/>
                <w:sz w:val="24"/>
                <w:szCs w:val="24"/>
              </w:rPr>
              <w:t>一级标题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6E634">
            <w:pPr>
              <w:spacing w:line="580" w:lineRule="exact"/>
              <w:jc w:val="center"/>
              <w:rPr>
                <w:rFonts w:ascii="仿宋_GB2312" w:hAnsi="华文仿宋" w:eastAsia="仿宋_GB2312" w:cs="Times New Roman"/>
                <w:color w:val="000000"/>
                <w:sz w:val="24"/>
                <w:szCs w:val="24"/>
                <w:u w:color="000000"/>
              </w:rPr>
            </w:pPr>
            <w:r>
              <w:rPr>
                <w:rFonts w:hint="eastAsia" w:ascii="仿宋_GB2312" w:hAnsi="华文仿宋" w:eastAsia="仿宋_GB2312" w:cs="Times New Roman"/>
                <w:color w:val="000000"/>
                <w:sz w:val="24"/>
                <w:szCs w:val="24"/>
              </w:rPr>
              <w:t>正文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FBF5A">
            <w:pPr>
              <w:spacing w:line="580" w:lineRule="exact"/>
              <w:jc w:val="center"/>
              <w:rPr>
                <w:rFonts w:ascii="仿宋_GB2312" w:hAnsi="华文仿宋" w:eastAsia="仿宋_GB2312" w:cs="Times New Roman"/>
                <w:color w:val="000000"/>
                <w:sz w:val="24"/>
                <w:szCs w:val="24"/>
                <w:u w:color="000000"/>
              </w:rPr>
            </w:pPr>
            <w:r>
              <w:rPr>
                <w:rFonts w:hint="eastAsia" w:ascii="仿宋_GB2312" w:hAnsi="华文仿宋" w:eastAsia="仿宋_GB2312" w:cs="Times New Roman"/>
                <w:color w:val="000000"/>
                <w:sz w:val="24"/>
                <w:szCs w:val="24"/>
              </w:rPr>
              <w:t>字幕</w:t>
            </w:r>
          </w:p>
        </w:tc>
      </w:tr>
      <w:tr w14:paraId="659E4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A22B7">
            <w:pPr>
              <w:spacing w:line="580" w:lineRule="exact"/>
              <w:jc w:val="center"/>
              <w:rPr>
                <w:rFonts w:ascii="仿宋_GB2312" w:hAnsi="华文仿宋" w:eastAsia="仿宋_GB2312" w:cs="Times New Roman"/>
                <w:color w:val="000000"/>
                <w:sz w:val="24"/>
                <w:szCs w:val="24"/>
                <w:u w:color="000000"/>
              </w:rPr>
            </w:pPr>
            <w:r>
              <w:rPr>
                <w:rFonts w:hint="eastAsia" w:ascii="仿宋_GB2312" w:hAnsi="华文仿宋" w:eastAsia="仿宋_GB2312" w:cs="Times New Roman"/>
                <w:color w:val="000000"/>
                <w:sz w:val="24"/>
                <w:szCs w:val="24"/>
              </w:rPr>
              <w:t>字体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AC924">
            <w:pPr>
              <w:spacing w:line="580" w:lineRule="exact"/>
              <w:jc w:val="center"/>
              <w:rPr>
                <w:rFonts w:ascii="仿宋_GB2312" w:hAnsi="华文仿宋" w:eastAsia="仿宋_GB2312" w:cs="Times New Roman"/>
                <w:color w:val="000000"/>
                <w:sz w:val="24"/>
                <w:szCs w:val="24"/>
                <w:u w:color="000000"/>
              </w:rPr>
            </w:pPr>
            <w:r>
              <w:rPr>
                <w:rFonts w:hint="eastAsia" w:ascii="仿宋_GB2312" w:hAnsi="华文仿宋" w:eastAsia="仿宋_GB2312" w:cs="Times New Roman"/>
                <w:color w:val="000000"/>
                <w:sz w:val="24"/>
                <w:szCs w:val="24"/>
              </w:rPr>
              <w:t>大黑、时尚中黑、大隶书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5D98E">
            <w:pPr>
              <w:spacing w:line="580" w:lineRule="exact"/>
              <w:jc w:val="center"/>
              <w:rPr>
                <w:rFonts w:ascii="仿宋_GB2312" w:hAnsi="华文仿宋" w:eastAsia="仿宋_GB2312" w:cs="Times New Roman"/>
                <w:color w:val="000000"/>
                <w:sz w:val="24"/>
                <w:szCs w:val="24"/>
                <w:u w:color="000000"/>
              </w:rPr>
            </w:pPr>
            <w:r>
              <w:rPr>
                <w:rFonts w:hint="eastAsia" w:ascii="仿宋_GB2312" w:hAnsi="华文仿宋" w:eastAsia="仿宋_GB2312" w:cs="Times New Roman"/>
                <w:color w:val="000000"/>
                <w:sz w:val="24"/>
                <w:szCs w:val="24"/>
              </w:rPr>
              <w:t>黑体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49A8E">
            <w:pPr>
              <w:spacing w:line="580" w:lineRule="exact"/>
              <w:jc w:val="center"/>
              <w:rPr>
                <w:rFonts w:ascii="仿宋_GB2312" w:hAnsi="华文仿宋" w:eastAsia="仿宋_GB2312" w:cs="Times New Roman"/>
                <w:color w:val="000000"/>
                <w:sz w:val="24"/>
                <w:szCs w:val="24"/>
                <w:u w:color="000000"/>
              </w:rPr>
            </w:pPr>
            <w:r>
              <w:rPr>
                <w:rFonts w:hint="eastAsia" w:ascii="仿宋_GB2312" w:hAnsi="华文仿宋" w:eastAsia="仿宋_GB2312" w:cs="Times New Roman"/>
                <w:color w:val="000000"/>
                <w:sz w:val="24"/>
                <w:szCs w:val="24"/>
              </w:rPr>
              <w:t>黑体、魏碑、大宋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28584">
            <w:pPr>
              <w:spacing w:line="580" w:lineRule="exact"/>
              <w:jc w:val="center"/>
              <w:rPr>
                <w:rFonts w:ascii="仿宋_GB2312" w:hAnsi="华文仿宋" w:eastAsia="仿宋_GB2312" w:cs="Times New Roman"/>
                <w:color w:val="000000"/>
                <w:sz w:val="24"/>
                <w:szCs w:val="24"/>
                <w:u w:color="000000"/>
              </w:rPr>
            </w:pPr>
            <w:r>
              <w:rPr>
                <w:rFonts w:hint="eastAsia" w:ascii="仿宋_GB2312" w:hAnsi="华文仿宋" w:eastAsia="仿宋_GB2312" w:cs="Times New Roman"/>
                <w:color w:val="000000"/>
                <w:sz w:val="24"/>
                <w:szCs w:val="24"/>
              </w:rPr>
              <w:t>雅黑、中宋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B2E64">
            <w:pPr>
              <w:spacing w:line="580" w:lineRule="exact"/>
              <w:jc w:val="center"/>
              <w:rPr>
                <w:rFonts w:ascii="仿宋_GB2312" w:hAnsi="华文仿宋" w:eastAsia="仿宋_GB2312" w:cs="Times New Roman"/>
                <w:color w:val="000000"/>
                <w:sz w:val="24"/>
                <w:szCs w:val="24"/>
                <w:u w:color="000000"/>
              </w:rPr>
            </w:pPr>
            <w:r>
              <w:rPr>
                <w:rFonts w:hint="eastAsia" w:ascii="仿宋_GB2312" w:hAnsi="华文仿宋" w:eastAsia="仿宋_GB2312" w:cs="Times New Roman"/>
                <w:color w:val="000000"/>
                <w:sz w:val="24"/>
                <w:szCs w:val="24"/>
              </w:rPr>
              <w:t>雅黑</w:t>
            </w:r>
          </w:p>
        </w:tc>
      </w:tr>
      <w:tr w14:paraId="60E08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906AA">
            <w:pPr>
              <w:spacing w:line="580" w:lineRule="exact"/>
              <w:jc w:val="center"/>
              <w:rPr>
                <w:rFonts w:ascii="仿宋_GB2312" w:hAnsi="华文仿宋" w:eastAsia="仿宋_GB2312" w:cs="Times New Roman"/>
                <w:color w:val="000000"/>
                <w:sz w:val="24"/>
                <w:szCs w:val="24"/>
                <w:u w:color="000000"/>
              </w:rPr>
            </w:pPr>
            <w:r>
              <w:rPr>
                <w:rFonts w:hint="eastAsia" w:ascii="仿宋_GB2312" w:hAnsi="华文仿宋" w:eastAsia="仿宋_GB2312" w:cs="Times New Roman"/>
                <w:color w:val="000000"/>
                <w:sz w:val="24"/>
                <w:szCs w:val="24"/>
              </w:rPr>
              <w:t>字号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F0DFF">
            <w:pPr>
              <w:spacing w:line="580" w:lineRule="exact"/>
              <w:jc w:val="center"/>
              <w:rPr>
                <w:rFonts w:ascii="仿宋_GB2312" w:hAnsi="华文仿宋" w:eastAsia="仿宋_GB2312" w:cs="Times New Roman"/>
                <w:color w:val="000000"/>
                <w:sz w:val="24"/>
                <w:szCs w:val="24"/>
                <w:u w:color="000000"/>
              </w:rPr>
            </w:pPr>
            <w:r>
              <w:rPr>
                <w:rFonts w:hint="eastAsia" w:ascii="仿宋_GB2312" w:hAnsi="华文仿宋" w:eastAsia="仿宋_GB2312" w:cs="Times New Roman"/>
                <w:color w:val="000000"/>
                <w:sz w:val="24"/>
                <w:szCs w:val="24"/>
              </w:rPr>
              <w:t>50～70磅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C3619">
            <w:pPr>
              <w:spacing w:line="580" w:lineRule="exact"/>
              <w:jc w:val="center"/>
              <w:rPr>
                <w:rFonts w:ascii="仿宋_GB2312" w:hAnsi="华文仿宋" w:eastAsia="仿宋_GB2312" w:cs="Times New Roman"/>
                <w:color w:val="000000"/>
                <w:sz w:val="24"/>
                <w:szCs w:val="24"/>
                <w:u w:color="000000"/>
              </w:rPr>
            </w:pPr>
            <w:r>
              <w:rPr>
                <w:rFonts w:hint="eastAsia" w:ascii="仿宋_GB2312" w:hAnsi="华文仿宋" w:eastAsia="仿宋_GB2312" w:cs="Times New Roman"/>
                <w:color w:val="000000"/>
                <w:sz w:val="24"/>
                <w:szCs w:val="24"/>
              </w:rPr>
              <w:t>36～40磅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6EAA8">
            <w:pPr>
              <w:spacing w:line="580" w:lineRule="exact"/>
              <w:jc w:val="center"/>
              <w:rPr>
                <w:rFonts w:ascii="仿宋_GB2312" w:hAnsi="华文仿宋" w:eastAsia="仿宋_GB2312" w:cs="Times New Roman"/>
                <w:color w:val="000000"/>
                <w:sz w:val="24"/>
                <w:szCs w:val="24"/>
                <w:u w:color="000000"/>
              </w:rPr>
            </w:pPr>
            <w:r>
              <w:rPr>
                <w:rFonts w:hint="eastAsia" w:ascii="仿宋_GB2312" w:hAnsi="华文仿宋" w:eastAsia="仿宋_GB2312" w:cs="Times New Roman"/>
                <w:color w:val="000000"/>
                <w:sz w:val="24"/>
                <w:szCs w:val="24"/>
              </w:rPr>
              <w:t>36～40磅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087CF">
            <w:pPr>
              <w:spacing w:line="580" w:lineRule="exact"/>
              <w:jc w:val="center"/>
              <w:rPr>
                <w:rFonts w:ascii="仿宋_GB2312" w:hAnsi="华文仿宋" w:eastAsia="仿宋_GB2312" w:cs="Times New Roman"/>
                <w:color w:val="000000"/>
                <w:sz w:val="24"/>
                <w:szCs w:val="24"/>
                <w:u w:color="000000"/>
              </w:rPr>
            </w:pPr>
            <w:r>
              <w:rPr>
                <w:rFonts w:hint="eastAsia" w:ascii="仿宋_GB2312" w:hAnsi="华文仿宋" w:eastAsia="仿宋_GB2312" w:cs="Times New Roman"/>
                <w:color w:val="000000"/>
                <w:sz w:val="24"/>
                <w:szCs w:val="24"/>
              </w:rPr>
              <w:t>24～32磅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F701D">
            <w:pPr>
              <w:spacing w:line="580" w:lineRule="exact"/>
              <w:jc w:val="center"/>
              <w:rPr>
                <w:rFonts w:ascii="仿宋_GB2312" w:hAnsi="华文仿宋" w:eastAsia="仿宋_GB2312" w:cs="Times New Roman"/>
                <w:color w:val="000000"/>
                <w:sz w:val="24"/>
                <w:szCs w:val="24"/>
                <w:u w:color="000000"/>
              </w:rPr>
            </w:pPr>
            <w:r>
              <w:rPr>
                <w:rFonts w:hint="eastAsia" w:ascii="仿宋_GB2312" w:hAnsi="华文仿宋" w:eastAsia="仿宋_GB2312" w:cs="Times New Roman"/>
                <w:color w:val="000000"/>
                <w:sz w:val="24"/>
                <w:szCs w:val="24"/>
              </w:rPr>
              <w:t>32磅</w:t>
            </w:r>
          </w:p>
        </w:tc>
      </w:tr>
      <w:tr w14:paraId="07877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2A6E0">
            <w:pPr>
              <w:spacing w:line="580" w:lineRule="exact"/>
              <w:jc w:val="center"/>
              <w:rPr>
                <w:rFonts w:ascii="仿宋_GB2312" w:hAnsi="华文仿宋" w:eastAsia="仿宋_GB2312" w:cs="Times New Roman"/>
                <w:color w:val="000000"/>
                <w:sz w:val="24"/>
                <w:szCs w:val="24"/>
                <w:u w:color="000000"/>
              </w:rPr>
            </w:pPr>
            <w:r>
              <w:rPr>
                <w:rFonts w:hint="eastAsia" w:ascii="仿宋_GB2312" w:hAnsi="华文仿宋" w:eastAsia="仿宋_GB2312" w:cs="Times New Roman"/>
                <w:color w:val="000000"/>
                <w:sz w:val="24"/>
                <w:szCs w:val="24"/>
              </w:rPr>
              <w:t>应用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D9B9D">
            <w:pPr>
              <w:spacing w:line="580" w:lineRule="exact"/>
              <w:jc w:val="center"/>
              <w:rPr>
                <w:rFonts w:ascii="仿宋_GB2312" w:hAnsi="华文仿宋" w:eastAsia="仿宋_GB2312" w:cs="Times New Roman"/>
                <w:color w:val="000000"/>
                <w:sz w:val="24"/>
                <w:szCs w:val="24"/>
                <w:u w:color="000000"/>
              </w:rPr>
            </w:pPr>
            <w:r>
              <w:rPr>
                <w:rFonts w:hint="eastAsia" w:ascii="仿宋_GB2312" w:hAnsi="华文仿宋" w:eastAsia="仿宋_GB2312" w:cs="Times New Roman"/>
                <w:color w:val="000000"/>
                <w:sz w:val="24"/>
                <w:szCs w:val="24"/>
              </w:rPr>
              <w:t>上下左右居中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512F2">
            <w:pPr>
              <w:spacing w:line="580" w:lineRule="exact"/>
              <w:jc w:val="center"/>
              <w:rPr>
                <w:rFonts w:ascii="仿宋_GB2312" w:hAnsi="华文仿宋" w:eastAsia="仿宋_GB2312" w:cs="Times New Roman"/>
                <w:color w:val="000000"/>
                <w:sz w:val="24"/>
                <w:szCs w:val="24"/>
                <w:u w:color="000000"/>
              </w:rPr>
            </w:pPr>
            <w:r>
              <w:rPr>
                <w:rFonts w:hint="eastAsia" w:ascii="仿宋_GB2312" w:hAnsi="华文仿宋" w:eastAsia="仿宋_GB2312" w:cs="Times New Roman"/>
                <w:color w:val="000000"/>
                <w:sz w:val="24"/>
                <w:szCs w:val="24"/>
              </w:rPr>
              <w:t>左右居中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DA119">
            <w:pPr>
              <w:spacing w:line="580" w:lineRule="exact"/>
              <w:jc w:val="center"/>
              <w:rPr>
                <w:rFonts w:ascii="仿宋_GB2312" w:hAnsi="华文仿宋" w:eastAsia="仿宋_GB2312" w:cs="Times New Roman"/>
                <w:color w:val="000000"/>
                <w:sz w:val="24"/>
                <w:szCs w:val="24"/>
                <w:u w:color="000000"/>
              </w:rPr>
            </w:pPr>
            <w:r>
              <w:rPr>
                <w:rFonts w:hint="eastAsia" w:ascii="仿宋_GB2312" w:hAnsi="华文仿宋" w:eastAsia="仿宋_GB2312" w:cs="Times New Roman"/>
                <w:color w:val="000000"/>
                <w:sz w:val="24"/>
                <w:szCs w:val="24"/>
              </w:rPr>
              <w:t>左右居中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51821">
            <w:pPr>
              <w:spacing w:line="580" w:lineRule="exact"/>
              <w:jc w:val="center"/>
              <w:rPr>
                <w:rFonts w:ascii="仿宋_GB2312" w:hAnsi="华文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华文仿宋" w:eastAsia="仿宋_GB2312" w:cs="Times New Roman"/>
                <w:color w:val="000000"/>
                <w:sz w:val="24"/>
                <w:szCs w:val="24"/>
              </w:rPr>
              <w:t>左对齐</w:t>
            </w:r>
          </w:p>
          <w:p w14:paraId="5921DB51">
            <w:pPr>
              <w:spacing w:line="580" w:lineRule="exact"/>
              <w:jc w:val="center"/>
              <w:rPr>
                <w:rFonts w:ascii="仿宋_GB2312" w:hAnsi="华文仿宋" w:eastAsia="仿宋_GB2312" w:cs="Times New Roman"/>
                <w:color w:val="000000"/>
                <w:sz w:val="24"/>
                <w:szCs w:val="24"/>
                <w:u w:color="000000"/>
              </w:rPr>
            </w:pPr>
            <w:r>
              <w:rPr>
                <w:rFonts w:hint="eastAsia" w:ascii="仿宋_GB2312" w:hAnsi="华文仿宋" w:eastAsia="仿宋_GB2312" w:cs="Times New Roman"/>
                <w:color w:val="000000"/>
                <w:sz w:val="24"/>
                <w:szCs w:val="24"/>
              </w:rPr>
              <w:t>或居中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CF6DA">
            <w:pPr>
              <w:spacing w:line="580" w:lineRule="exact"/>
              <w:jc w:val="center"/>
              <w:rPr>
                <w:rFonts w:ascii="仿宋_GB2312" w:hAnsi="华文仿宋" w:eastAsia="仿宋_GB2312" w:cs="Times New Roman"/>
                <w:color w:val="000000"/>
                <w:sz w:val="24"/>
                <w:szCs w:val="24"/>
                <w:u w:color="000000"/>
              </w:rPr>
            </w:pPr>
            <w:r>
              <w:rPr>
                <w:rFonts w:hint="eastAsia" w:ascii="仿宋_GB2312" w:hAnsi="华文仿宋" w:eastAsia="仿宋_GB2312" w:cs="Times New Roman"/>
                <w:color w:val="000000"/>
                <w:sz w:val="24"/>
                <w:szCs w:val="24"/>
              </w:rPr>
              <w:t>左右居中</w:t>
            </w:r>
          </w:p>
        </w:tc>
      </w:tr>
    </w:tbl>
    <w:p w14:paraId="427FE9A9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  <w:u w:color="000000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3.版心与版式</w:t>
      </w:r>
    </w:p>
    <w:p w14:paraId="3901429B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每页四周留出空白，应避免内容顶到页面边缘，边界安全区域分别为左、右130像素内，上、下90像素内。</w:t>
      </w:r>
    </w:p>
    <w:p w14:paraId="107CB552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4.背景</w:t>
      </w:r>
    </w:p>
    <w:p w14:paraId="6A567B1F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（1）背景色以简洁适中饱和度为主（颜色保持在一至两种色系内）；</w:t>
      </w:r>
    </w:p>
    <w:p w14:paraId="5246272E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（2）背景和场景不宜变化过多；</w:t>
      </w:r>
    </w:p>
    <w:p w14:paraId="37EC8997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（3）文字、图形等内容应与背景对比醒目。</w:t>
      </w:r>
    </w:p>
    <w:p w14:paraId="43B73028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5.色调</w:t>
      </w:r>
    </w:p>
    <w:p w14:paraId="2CDEF117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（1）色彩的选配应与课程科目相吻合；</w:t>
      </w:r>
    </w:p>
    <w:p w14:paraId="220A4730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（2）每一短视频或一系列短视频在配色上应体现出系统性，可选一种主色调再加上一至两种辅助色进行匹配；</w:t>
      </w:r>
    </w:p>
    <w:p w14:paraId="771A2A6A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（3）同一屏里文字不宜超出三种颜色。</w:t>
      </w:r>
    </w:p>
    <w:p w14:paraId="7D5CC51E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6.字距与行距</w:t>
      </w:r>
    </w:p>
    <w:p w14:paraId="0FE34491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（1）标题：在文字少的情形下，字距放宽一倍体现舒展性；</w:t>
      </w:r>
    </w:p>
    <w:p w14:paraId="2C72974D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（2）正文：行距使用1行或1.5行，便于阅读。</w:t>
      </w:r>
    </w:p>
    <w:p w14:paraId="79EA9FBD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7.图</w:t>
      </w:r>
    </w:p>
    <w:p w14:paraId="3FDA03E0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（1）图像应清晰并能反映出内容主题思想，分辨率应上72dpi以上；</w:t>
      </w:r>
    </w:p>
    <w:p w14:paraId="36F713A1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（2）图片不可加长或压窄，防止变形；</w:t>
      </w:r>
    </w:p>
    <w:p w14:paraId="3CF0A76B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（3）图形使用应通俗易懂，便于理解。</w:t>
      </w:r>
    </w:p>
    <w:p w14:paraId="41091399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8.修饰</w:t>
      </w:r>
    </w:p>
    <w:p w14:paraId="048E019A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（1）细线条的运用比粗线条更显精致；</w:t>
      </w:r>
    </w:p>
    <w:p w14:paraId="1E321595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（2）扁平式的装饰更接近时代审美；</w:t>
      </w:r>
    </w:p>
    <w:p w14:paraId="3ED4E9B8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（3）有趣味的装饰通常更能吸引人。</w:t>
      </w:r>
    </w:p>
    <w:p w14:paraId="4DB8FA98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9.版权来源</w:t>
      </w:r>
    </w:p>
    <w:p w14:paraId="57F93B15">
      <w:pPr>
        <w:spacing w:line="580" w:lineRule="exact"/>
        <w:ind w:firstLine="640"/>
        <w:rPr>
          <w:rFonts w:ascii="仿宋_GB2312" w:hAnsi="华文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仿宋" w:eastAsia="仿宋_GB2312" w:cs="Times New Roman"/>
          <w:color w:val="000000"/>
          <w:sz w:val="32"/>
          <w:szCs w:val="32"/>
        </w:rPr>
        <w:t>素材选用注意版权，涉及版权问题须加入“版权来源”信息。</w:t>
      </w:r>
    </w:p>
    <w:p w14:paraId="09A7A448">
      <w:pPr>
        <w:spacing w:line="580" w:lineRule="exact"/>
        <w:ind w:firstLine="640"/>
        <w:rPr>
          <w:rFonts w:ascii="仿宋_GB2312" w:hAnsi="Calibri" w:eastAsia="仿宋_GB2312" w:cs="Times New Roman"/>
          <w:color w:val="000000"/>
          <w:sz w:val="32"/>
          <w:szCs w:val="32"/>
        </w:rPr>
      </w:pPr>
    </w:p>
    <w:p w14:paraId="46929635">
      <w:pPr>
        <w:spacing w:line="580" w:lineRule="exact"/>
        <w:rPr>
          <w:rFonts w:ascii="Calibri" w:hAnsi="Calibri" w:eastAsia="宋体" w:cs="Times New Roman"/>
          <w:color w:val="000000"/>
        </w:rPr>
      </w:pPr>
    </w:p>
    <w:p w14:paraId="186DCC47">
      <w:pPr>
        <w:widowControl/>
        <w:rPr>
          <w:rFonts w:ascii="黑体" w:hAnsi="黑体" w:eastAsia="黑体" w:cs="黑体"/>
          <w:color w:val="000000"/>
          <w:sz w:val="32"/>
          <w:szCs w:val="32"/>
        </w:rPr>
      </w:pPr>
    </w:p>
    <w:p w14:paraId="09E7FF11">
      <w:pPr>
        <w:widowControl/>
        <w:rPr>
          <w:rFonts w:ascii="黑体" w:hAnsi="黑体" w:eastAsia="黑体" w:cs="黑体"/>
          <w:color w:val="000000"/>
          <w:sz w:val="32"/>
          <w:szCs w:val="32"/>
        </w:rPr>
      </w:pPr>
    </w:p>
    <w:p w14:paraId="27ED1EEB">
      <w:pPr>
        <w:widowControl/>
        <w:rPr>
          <w:rFonts w:ascii="黑体" w:hAnsi="黑体" w:eastAsia="黑体" w:cs="黑体"/>
          <w:color w:val="000000"/>
          <w:sz w:val="32"/>
          <w:szCs w:val="32"/>
        </w:rPr>
      </w:pPr>
    </w:p>
    <w:p w14:paraId="3F8B2733">
      <w:pPr>
        <w:widowControl/>
        <w:rPr>
          <w:rFonts w:ascii="黑体" w:hAnsi="黑体" w:eastAsia="黑体" w:cs="黑体"/>
          <w:color w:val="000000"/>
          <w:sz w:val="32"/>
          <w:szCs w:val="32"/>
        </w:rPr>
      </w:pPr>
    </w:p>
    <w:p w14:paraId="1DD9A5ED">
      <w:pPr>
        <w:widowControl/>
        <w:rPr>
          <w:rFonts w:ascii="黑体" w:hAnsi="黑体" w:eastAsia="黑体" w:cs="黑体"/>
          <w:color w:val="000000"/>
          <w:sz w:val="32"/>
          <w:szCs w:val="32"/>
        </w:rPr>
      </w:pPr>
    </w:p>
    <w:p w14:paraId="3894434B">
      <w:pPr>
        <w:widowControl/>
        <w:rPr>
          <w:rFonts w:ascii="黑体" w:hAnsi="黑体" w:eastAsia="黑体" w:cs="黑体"/>
          <w:color w:val="000000"/>
          <w:sz w:val="32"/>
          <w:szCs w:val="32"/>
        </w:rPr>
      </w:pPr>
    </w:p>
    <w:p w14:paraId="1725CAD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F90"/>
    <w:rsid w:val="003D252F"/>
    <w:rsid w:val="00533F90"/>
    <w:rsid w:val="00BC567A"/>
    <w:rsid w:val="00DD455C"/>
    <w:rsid w:val="76C90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3126</Words>
  <Characters>3314</Characters>
  <Lines>24</Lines>
  <Paragraphs>6</Paragraphs>
  <TotalTime>0</TotalTime>
  <ScaleCrop>false</ScaleCrop>
  <LinksUpToDate>false</LinksUpToDate>
  <CharactersWithSpaces>3337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2018-11-19T02:19:00Z</dcterms:created>
  <dc:creator>谢桂花</dc:creator>
  <cp:lastModifiedBy>karina</cp:lastModifiedBy>
  <dcterms:modified xsi:type="dcterms:W3CDTF">2025-03-05T00:51:08Z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eyJoZGlkIjoiOWJiMTA0ODE4NjE0MGI3NTM1ZDBlMmFmY2UyYTdjYjQiLCJ1c2VySWQiOiIyNTMwNTAzOTUifQ==</vt:lpwstr>
  </property>
  <property fmtid="{D5CDD505-2E9C-101B-9397-08002B2CF9AE}" pid="3" name="KSOProductBuildVer">
    <vt:lpwstr>2052-12.1.0.20305</vt:lpwstr>
  </property>
  <property fmtid="{D5CDD505-2E9C-101B-9397-08002B2CF9AE}" pid="4" name="ICV">
    <vt:lpwstr>8128B9C1D3494AC09CFB2819B77D6D9F_12</vt:lpwstr>
  </property>
</Properties>
</file>